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pPr w:horzAnchor="text" w:tblpX="250" w:vertAnchor="text" w:tblpY="1" w:leftFromText="180" w:topFromText="0" w:rightFromText="180" w:bottomFromText="0"/>
        <w:tblW w:w="9889" w:type="dxa"/>
        <w:tblLook w:val="04A0" w:firstRow="1" w:lastRow="0" w:firstColumn="1" w:lastColumn="0" w:noHBand="0" w:noVBand="1"/>
      </w:tblPr>
      <w:tblGrid>
        <w:gridCol w:w="5070"/>
        <w:gridCol w:w="4819"/>
      </w:tblGrid>
      <w:tr>
        <w:tblPrEx/>
        <w:trPr>
          <w:trHeight w:val="2116"/>
        </w:trPr>
        <w:tc>
          <w:tcPr>
            <w:tcW w:w="5070" w:type="dxa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</w:r>
            <w:r>
              <w:rPr>
                <w:bCs/>
                <w:color w:val="000000"/>
                <w:lang w:val="en-US"/>
              </w:rPr>
            </w:r>
            <w:r>
              <w:rPr>
                <w:bCs/>
                <w:color w:val="000000"/>
                <w:lang w:val="en-US"/>
              </w:rPr>
            </w:r>
          </w:p>
        </w:tc>
        <w:tc>
          <w:tcPr>
            <w:tcW w:w="4819" w:type="dxa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«УТВЕРЖ</w:t>
            </w:r>
            <w:r>
              <w:rPr>
                <w:color w:val="000000"/>
              </w:rPr>
              <w:t xml:space="preserve">ДЕНО</w:t>
            </w:r>
            <w:r>
              <w:rPr>
                <w:color w:val="000000"/>
              </w:rPr>
              <w:t xml:space="preserve">»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На заседании Закупочной комиссии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«28» марта </w:t>
            </w:r>
            <w:r>
              <w:rPr>
                <w:color w:val="000000"/>
              </w:rPr>
              <w:t xml:space="preserve">202</w:t>
            </w:r>
            <w:r>
              <w:rPr>
                <w:color w:val="000000"/>
              </w:rPr>
              <w:t xml:space="preserve">5</w:t>
            </w:r>
            <w:r>
              <w:rPr>
                <w:color w:val="000000"/>
              </w:rPr>
              <w:t xml:space="preserve"> г.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</w:p>
          <w:p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</w:p>
        </w:tc>
      </w:tr>
      <w:tr>
        <w:tblPrEx/>
        <w:trPr>
          <w:trHeight w:val="2116"/>
        </w:trPr>
        <w:tc>
          <w:tcPr>
            <w:tcW w:w="5070" w:type="dxa"/>
            <w:textDirection w:val="lrTb"/>
            <w:noWrap w:val="false"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W w:w="4819" w:type="dxa"/>
            <w:textDirection w:val="lrTb"/>
            <w:noWrap w:val="false"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</w:tbl>
    <w:p>
      <w:pPr>
        <w:pStyle w:val="1332"/>
        <w:ind w:left="0" w:right="0" w:firstLine="0"/>
        <w:jc w:val="center"/>
        <w:spacing w:after="120" w:line="240" w:lineRule="auto"/>
        <w:shd w:val="clear" w:color="auto" w:fill="auto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pStyle w:val="1332"/>
        <w:ind w:left="0" w:right="0" w:firstLine="0"/>
        <w:jc w:val="center"/>
        <w:spacing w:after="120" w:line="240" w:lineRule="auto"/>
        <w:shd w:val="clear" w:color="auto" w:fill="auto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pStyle w:val="1332"/>
        <w:ind w:left="0" w:right="0" w:firstLine="0"/>
        <w:jc w:val="center"/>
        <w:spacing w:after="120" w:line="240" w:lineRule="auto"/>
        <w:shd w:val="clear" w:color="auto" w:fill="auto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pStyle w:val="1332"/>
        <w:ind w:left="0" w:right="0" w:firstLine="0"/>
        <w:jc w:val="center"/>
        <w:spacing w:after="120" w:line="240" w:lineRule="auto"/>
        <w:shd w:val="clear" w:color="auto" w:fill="auto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pStyle w:val="1332"/>
        <w:ind w:left="0" w:right="0" w:firstLine="0"/>
        <w:jc w:val="center"/>
        <w:spacing w:after="120" w:line="240" w:lineRule="auto"/>
        <w:shd w:val="clear" w:color="auto" w:fill="auto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  <w:t xml:space="preserve">ДОКУМЕНТАЦИЯ О ЗАКУПКЕ</w:t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  <w:t xml:space="preserve">КОНКУРС</w:t>
      </w:r>
      <w:r>
        <w:rPr>
          <w:b/>
          <w:bCs/>
        </w:rPr>
        <w:t xml:space="preserve"> В ЭЛЕКТРОННОЙ ФОРМЕ</w:t>
      </w:r>
      <w:r>
        <w:rPr>
          <w:b/>
          <w:bCs/>
        </w:rPr>
      </w:r>
      <w:r>
        <w:rPr>
          <w:b/>
          <w:bCs/>
        </w:rPr>
      </w:r>
    </w:p>
    <w:p>
      <w:pPr>
        <w:pStyle w:val="1192"/>
        <w:jc w:val="center"/>
        <w:spacing w:after="0"/>
        <w:rPr>
          <w:b/>
          <w:bCs/>
          <w14:ligatures w14:val="none"/>
        </w:rPr>
      </w:pPr>
      <w:r>
        <w:rPr>
          <w:b/>
          <w:bCs/>
        </w:rPr>
      </w:r>
      <w:r>
        <w:rPr>
          <w:b/>
          <w:bCs/>
        </w:rPr>
        <w:t xml:space="preserve">25К7110010.0006/1. Оказание услуг по организации стратегических сессий, конференций, семинаров, рабочих совещаний и аналогичных мероприятий для нужд</w:t>
      </w:r>
      <w:r>
        <w:rPr>
          <w:b/>
          <w:bCs/>
        </w:rPr>
        <w:t xml:space="preserve"> ПАО </w:t>
      </w:r>
      <w:r>
        <w:rPr>
          <w:b/>
          <w:bCs/>
        </w:rPr>
        <w:t xml:space="preserve">«Россети Северо-Запад»</w:t>
      </w:r>
      <w:r>
        <w:rPr>
          <w:b/>
          <w:bCs/>
          <w14:ligatures w14:val="none"/>
        </w:rPr>
      </w:r>
      <w:r>
        <w:rPr>
          <w:b/>
          <w:bCs/>
          <w14:ligatures w14:val="none"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pStyle w:val="1192"/>
        <w:jc w:val="center"/>
        <w:spacing w:after="0"/>
        <w:rPr>
          <w:b/>
          <w:bCs/>
        </w:rPr>
      </w:pPr>
      <w:r>
        <w:rPr>
          <w:b/>
          <w:bCs/>
        </w:rPr>
        <w:t xml:space="preserve">г. </w:t>
      </w:r>
      <w:r>
        <w:rPr>
          <w:b/>
          <w:shd w:val="clear" w:color="auto" w:fill="ffffff" w:themeFill="background1"/>
        </w:rPr>
        <w:t xml:space="preserve">Санкт-Петербург</w:t>
      </w:r>
      <w:r>
        <w:rPr>
          <w:bCs/>
        </w:rPr>
        <w:br/>
      </w:r>
      <w:r>
        <w:rPr>
          <w:b/>
          <w:bCs/>
        </w:rPr>
        <w:t xml:space="preserve">202</w:t>
      </w:r>
      <w:r>
        <w:rPr>
          <w:b/>
          <w:bCs/>
        </w:rPr>
        <w:t xml:space="preserve">5</w:t>
      </w:r>
      <w:r>
        <w:rPr>
          <w:b/>
          <w:bCs/>
        </w:rPr>
        <w:t xml:space="preserve"> </w:t>
      </w:r>
      <w:r>
        <w:rPr>
          <w:b/>
          <w:bCs/>
        </w:rPr>
        <w:t xml:space="preserve">год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br w:type="page" w:clear="all"/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rPr>
          <w:rStyle w:val="1169"/>
          <w:rFonts w:ascii="Times New Roman" w:hAnsi="Times New Roman" w:cs="Times New Roman"/>
          <w:b/>
          <w:caps/>
          <w:color w:val="auto"/>
          <w:sz w:val="24"/>
          <w:szCs w:val="24"/>
        </w:rPr>
      </w:pPr>
      <w:r>
        <w:rPr>
          <w:rStyle w:val="1169"/>
          <w:rFonts w:ascii="Times New Roman" w:hAnsi="Times New Roman" w:cs="Times New Roman"/>
          <w:b/>
          <w:caps/>
          <w:color w:val="auto"/>
          <w:sz w:val="24"/>
          <w:szCs w:val="24"/>
        </w:rPr>
        <w:t xml:space="preserve">СОДЕРЖАНИЕ</w:t>
      </w:r>
      <w:r>
        <w:rPr>
          <w:rStyle w:val="1169"/>
          <w:rFonts w:ascii="Times New Roman" w:hAnsi="Times New Roman" w:cs="Times New Roman"/>
          <w:b/>
          <w:caps/>
          <w:color w:val="auto"/>
          <w:sz w:val="24"/>
          <w:szCs w:val="24"/>
        </w:rPr>
      </w:r>
      <w:r>
        <w:rPr>
          <w:rStyle w:val="1169"/>
          <w:rFonts w:ascii="Times New Roman" w:hAnsi="Times New Roman" w:cs="Times New Roman"/>
          <w:b/>
          <w:caps/>
          <w:color w:val="auto"/>
          <w:sz w:val="24"/>
          <w:szCs w:val="24"/>
        </w:rPr>
      </w:r>
    </w:p>
    <w:p>
      <w:pPr>
        <w:ind w:firstLine="567"/>
        <w:jc w:val="left"/>
        <w:keepLines/>
        <w:keepNext/>
        <w:spacing w:after="0"/>
        <w:widowControl w:val="off"/>
        <w:suppressLineNumbers/>
      </w:pPr>
      <w:r/>
      <w:r/>
    </w:p>
    <w:p>
      <w:pPr>
        <w:pStyle w:val="1188"/>
        <w:tabs>
          <w:tab w:val="left" w:pos="567" w:leader="none"/>
          <w:tab w:val="right" w:pos="10195" w:leader="dot"/>
        </w:tabs>
        <w:rPr>
          <w:rStyle w:val="1169"/>
          <w:caps/>
        </w:rPr>
      </w:pPr>
      <w:r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tooltip="#_Toc1" w:anchor="_Toc1" w:history="1">
        <w:r>
          <w:rPr>
            <w:rFonts w:ascii="Times New Roman" w:hAnsi="Times New Roman" w:eastAsia="Times New Roman" w:cs="Times New Roman"/>
          </w:rPr>
          <w:t xml:space="preserve">I.</w:t>
        </w:r>
        <w:r>
          <w:tab/>
        </w:r>
        <w:r>
          <w:rPr>
            <w:rStyle w:val="1356"/>
          </w:rPr>
        </w:r>
        <w:r>
          <w:rPr>
            <w:rStyle w:val="1356"/>
            <w:rFonts w:ascii="Times New Roman" w:hAnsi="Times New Roman" w:cs="Times New Roman"/>
            <w:caps/>
          </w:rPr>
          <w:t xml:space="preserve">ОБЩИЕ УСЛОВИЯ ПРОВЕДЕНИЯ </w:t>
        </w:r>
        <w:r>
          <w:rPr>
            <w:rStyle w:val="1356"/>
            <w:rFonts w:ascii="Times New Roman" w:hAnsi="Times New Roman" w:cs="Times New Roman"/>
            <w:caps/>
          </w:rPr>
          <w:t xml:space="preserve">закупки</w:t>
        </w:r>
        <w:r>
          <w:rPr>
            <w:rStyle w:val="1356"/>
            <w:caps/>
          </w:rPr>
        </w:r>
        <w:r>
          <w:tab/>
        </w:r>
        <w:r>
          <w:fldChar w:fldCharType="begin"/>
          <w:instrText xml:space="preserve">PAGEREF _Toc1 \h</w:instrText>
          <w:fldChar w:fldCharType="separate"/>
          <w:t xml:space="preserve">4</w:t>
          <w:fldChar w:fldCharType="end"/>
        </w:r>
      </w:hyperlink>
      <w:r>
        <w:rPr>
          <w:rStyle w:val="1169"/>
          <w:caps/>
        </w:rPr>
      </w:r>
      <w:r>
        <w:rPr>
          <w:rStyle w:val="1169"/>
          <w:caps/>
        </w:rPr>
      </w:r>
    </w:p>
    <w:p>
      <w:pPr>
        <w:pStyle w:val="1188"/>
        <w:tabs>
          <w:tab w:val="left" w:pos="567" w:leader="none"/>
          <w:tab w:val="right" w:pos="10195" w:leader="dot"/>
        </w:tabs>
      </w:pPr>
      <w:r/>
      <w:hyperlink w:tooltip="#_Toc2" w:anchor="_Toc2" w:history="1">
        <w:r>
          <w:rPr>
            <w:rFonts w:ascii="Times New Roman" w:hAnsi="Times New Roman" w:eastAsia="Times New Roman" w:cs="Times New Roman"/>
          </w:rPr>
          <w:t xml:space="preserve">1.</w:t>
        </w:r>
        <w:r>
          <w:tab/>
        </w:r>
        <w:r>
          <w:rPr>
            <w:rStyle w:val="1356"/>
          </w:rPr>
        </w:r>
        <w:r>
          <w:rPr>
            <w:rStyle w:val="1356"/>
          </w:rPr>
          <w:t xml:space="preserve">ОБЩИЕ ПОЛОЖЕНИЯ</w:t>
        </w:r>
        <w:r>
          <w:rPr>
            <w:rStyle w:val="1356"/>
          </w:rPr>
        </w:r>
        <w:r>
          <w:tab/>
        </w:r>
        <w:r>
          <w:fldChar w:fldCharType="begin"/>
          <w:instrText xml:space="preserve">PAGEREF _Toc2 \h</w:instrText>
          <w:fldChar w:fldCharType="separate"/>
          <w:t xml:space="preserve">4</w:t>
          <w:fldChar w:fldCharType="end"/>
        </w:r>
      </w:hyperlink>
      <w:r/>
      <w:r/>
    </w:p>
    <w:p>
      <w:pPr>
        <w:pStyle w:val="1189"/>
        <w:tabs>
          <w:tab w:val="left" w:pos="850" w:leader="none"/>
          <w:tab w:val="right" w:pos="10195" w:leader="dot"/>
        </w:tabs>
      </w:pPr>
      <w:r/>
      <w:hyperlink w:tooltip="#_Toc3" w:anchor="_Toc3" w:history="1">
        <w:r>
          <w:rPr>
            <w:rFonts w:ascii="Times New Roman" w:hAnsi="Times New Roman" w:eastAsia="Times New Roman" w:cs="Times New Roman"/>
          </w:rPr>
          <w:t xml:space="preserve">1.1.</w:t>
        </w:r>
        <w:r>
          <w:tab/>
        </w:r>
        <w:r>
          <w:rPr>
            <w:rStyle w:val="1356"/>
          </w:rPr>
        </w:r>
        <w:r>
          <w:rPr>
            <w:rStyle w:val="1356"/>
          </w:rPr>
          <w:t xml:space="preserve">Правовой статус документов</w:t>
        </w:r>
        <w:r>
          <w:rPr>
            <w:rStyle w:val="1356"/>
          </w:rPr>
        </w:r>
        <w:r>
          <w:tab/>
        </w:r>
        <w:r>
          <w:fldChar w:fldCharType="begin"/>
          <w:instrText xml:space="preserve">PAGEREF _Toc3 \h</w:instrText>
          <w:fldChar w:fldCharType="separate"/>
          <w:t xml:space="preserve">4</w:t>
          <w:fldChar w:fldCharType="end"/>
        </w:r>
      </w:hyperlink>
      <w:r/>
      <w:r/>
    </w:p>
    <w:p>
      <w:pPr>
        <w:pStyle w:val="1189"/>
        <w:tabs>
          <w:tab w:val="left" w:pos="850" w:leader="none"/>
          <w:tab w:val="right" w:pos="10195" w:leader="dot"/>
        </w:tabs>
      </w:pPr>
      <w:r/>
      <w:hyperlink w:tooltip="#_Toc4" w:anchor="_Toc4" w:history="1">
        <w:r>
          <w:rPr>
            <w:rFonts w:ascii="Times New Roman" w:hAnsi="Times New Roman" w:eastAsia="Times New Roman" w:cs="Times New Roman"/>
          </w:rPr>
          <w:t xml:space="preserve">1.2.</w:t>
        </w:r>
        <w:r>
          <w:tab/>
        </w:r>
        <w:r>
          <w:rPr>
            <w:rStyle w:val="1356"/>
          </w:rPr>
        </w:r>
        <w:r>
          <w:rPr>
            <w:rStyle w:val="1356"/>
          </w:rPr>
          <w:t xml:space="preserve">Заказчик</w:t>
        </w:r>
        <w:r>
          <w:rPr>
            <w:rStyle w:val="1356"/>
          </w:rPr>
          <w:t xml:space="preserve">, предмет и условия проведения закупки</w:t>
        </w:r>
        <w:r>
          <w:rPr>
            <w:rStyle w:val="1356"/>
          </w:rPr>
          <w:t xml:space="preserve">.</w:t>
        </w:r>
        <w:r>
          <w:rPr>
            <w:rStyle w:val="1356"/>
          </w:rPr>
        </w:r>
        <w:r>
          <w:tab/>
        </w:r>
        <w:r>
          <w:fldChar w:fldCharType="begin"/>
          <w:instrText xml:space="preserve">PAGEREF _Toc4 \h</w:instrText>
          <w:fldChar w:fldCharType="separate"/>
          <w:t xml:space="preserve">4</w:t>
          <w:fldChar w:fldCharType="end"/>
        </w:r>
      </w:hyperlink>
      <w:r/>
      <w:r/>
    </w:p>
    <w:p>
      <w:pPr>
        <w:pStyle w:val="1189"/>
        <w:tabs>
          <w:tab w:val="left" w:pos="850" w:leader="none"/>
          <w:tab w:val="right" w:pos="10195" w:leader="dot"/>
        </w:tabs>
      </w:pPr>
      <w:r/>
      <w:hyperlink w:tooltip="#_Toc5" w:anchor="_Toc5" w:history="1">
        <w:r>
          <w:rPr>
            <w:rFonts w:ascii="Times New Roman" w:hAnsi="Times New Roman" w:eastAsia="Times New Roman" w:cs="Times New Roman"/>
          </w:rPr>
          <w:t xml:space="preserve">1.3.</w:t>
        </w:r>
        <w:r>
          <w:tab/>
        </w:r>
        <w:r>
          <w:rPr>
            <w:rStyle w:val="1356"/>
          </w:rPr>
        </w:r>
        <w:r>
          <w:rPr>
            <w:rStyle w:val="1356"/>
          </w:rPr>
          <w:t xml:space="preserve">Начальная (максимальная) цена </w:t>
        </w:r>
        <w:r>
          <w:rPr>
            <w:rStyle w:val="1356"/>
          </w:rPr>
          <w:t xml:space="preserve">договора (цена лота)</w:t>
        </w:r>
        <w:r>
          <w:rPr>
            <w:rStyle w:val="1356"/>
          </w:rPr>
          <w:t xml:space="preserve"> </w:t>
        </w:r>
        <w:r>
          <w:rPr>
            <w:rStyle w:val="1356"/>
          </w:rPr>
        </w:r>
        <w:r>
          <w:tab/>
        </w:r>
        <w:r>
          <w:fldChar w:fldCharType="begin"/>
          <w:instrText xml:space="preserve">PAGEREF _Toc5 \h</w:instrText>
          <w:fldChar w:fldCharType="separate"/>
          <w:t xml:space="preserve">4</w:t>
          <w:fldChar w:fldCharType="end"/>
        </w:r>
      </w:hyperlink>
      <w:r/>
      <w:r/>
    </w:p>
    <w:p>
      <w:pPr>
        <w:pStyle w:val="1189"/>
        <w:tabs>
          <w:tab w:val="left" w:pos="850" w:leader="none"/>
          <w:tab w:val="right" w:pos="10195" w:leader="dot"/>
        </w:tabs>
      </w:pPr>
      <w:r/>
      <w:hyperlink w:tooltip="#_Toc6" w:anchor="_Toc6" w:history="1">
        <w:r>
          <w:rPr>
            <w:rFonts w:ascii="Times New Roman" w:hAnsi="Times New Roman" w:eastAsia="Times New Roman" w:cs="Times New Roman"/>
          </w:rPr>
          <w:t xml:space="preserve">1.4.</w:t>
        </w:r>
        <w:r>
          <w:tab/>
        </w:r>
        <w:r>
          <w:rPr>
            <w:rStyle w:val="1356"/>
          </w:rPr>
        </w:r>
        <w:r>
          <w:rPr>
            <w:rStyle w:val="1356"/>
          </w:rPr>
          <w:t xml:space="preserve">Требования к </w:t>
        </w:r>
        <w:r>
          <w:rPr>
            <w:rStyle w:val="1356"/>
          </w:rPr>
          <w:t xml:space="preserve">участникам закупки</w:t>
        </w:r>
        <w:r>
          <w:rPr>
            <w:rStyle w:val="1356"/>
          </w:rPr>
        </w:r>
        <w:r>
          <w:tab/>
        </w:r>
        <w:r>
          <w:fldChar w:fldCharType="begin"/>
          <w:instrText xml:space="preserve">PAGEREF _Toc6 \h</w:instrText>
          <w:fldChar w:fldCharType="separate"/>
          <w:t xml:space="preserve">5</w:t>
          <w:fldChar w:fldCharType="end"/>
        </w:r>
      </w:hyperlink>
      <w:r/>
      <w:r/>
    </w:p>
    <w:p>
      <w:pPr>
        <w:pStyle w:val="1189"/>
        <w:tabs>
          <w:tab w:val="left" w:pos="850" w:leader="none"/>
          <w:tab w:val="right" w:pos="10195" w:leader="dot"/>
        </w:tabs>
      </w:pPr>
      <w:r/>
      <w:hyperlink w:tooltip="#_Toc7" w:anchor="_Toc7" w:history="1">
        <w:r>
          <w:rPr>
            <w:rFonts w:ascii="Times New Roman" w:hAnsi="Times New Roman" w:eastAsia="Times New Roman" w:cs="Times New Roman"/>
          </w:rPr>
          <w:t xml:space="preserve">1.5.</w:t>
        </w:r>
        <w:r>
          <w:tab/>
        </w:r>
        <w:r>
          <w:rPr>
            <w:rStyle w:val="1356"/>
          </w:rPr>
        </w:r>
        <w:r>
          <w:rPr>
            <w:rStyle w:val="1356"/>
          </w:rPr>
          <w:t xml:space="preserve">Привлечение соисполнителей (субподрядчиков) к исполнению договора</w:t>
        </w:r>
        <w:r>
          <w:rPr>
            <w:rStyle w:val="1356"/>
          </w:rPr>
        </w:r>
        <w:r>
          <w:tab/>
        </w:r>
        <w:r>
          <w:fldChar w:fldCharType="begin"/>
          <w:instrText xml:space="preserve">PAGEREF _Toc7 \h</w:instrText>
          <w:fldChar w:fldCharType="separate"/>
          <w:t xml:space="preserve">6</w:t>
          <w:fldChar w:fldCharType="end"/>
        </w:r>
      </w:hyperlink>
      <w:r/>
      <w:r/>
    </w:p>
    <w:p>
      <w:pPr>
        <w:pStyle w:val="1189"/>
        <w:tabs>
          <w:tab w:val="left" w:pos="850" w:leader="none"/>
          <w:tab w:val="right" w:pos="10195" w:leader="dot"/>
        </w:tabs>
      </w:pPr>
      <w:r/>
      <w:hyperlink w:tooltip="#_Toc8" w:anchor="_Toc8" w:history="1">
        <w:r>
          <w:rPr>
            <w:rFonts w:ascii="Times New Roman" w:hAnsi="Times New Roman" w:eastAsia="Times New Roman" w:cs="Times New Roman"/>
          </w:rPr>
          <w:t xml:space="preserve">1.6.</w:t>
        </w:r>
        <w:r>
          <w:tab/>
        </w:r>
        <w:r>
          <w:rPr>
            <w:rStyle w:val="1356"/>
          </w:rPr>
        </w:r>
        <w:r>
          <w:rPr>
            <w:rStyle w:val="1356"/>
          </w:rPr>
          <w:t xml:space="preserve">Расходы на участие в </w:t>
        </w:r>
        <w:r>
          <w:rPr>
            <w:rStyle w:val="1356"/>
          </w:rPr>
          <w:t xml:space="preserve">закупке</w:t>
        </w:r>
        <w:r>
          <w:rPr>
            <w:rStyle w:val="1356"/>
          </w:rPr>
          <w:t xml:space="preserve"> и при заключении договора</w:t>
        </w:r>
        <w:r>
          <w:rPr>
            <w:rStyle w:val="1356"/>
          </w:rPr>
        </w:r>
        <w:r>
          <w:tab/>
        </w:r>
        <w:r>
          <w:fldChar w:fldCharType="begin"/>
          <w:instrText xml:space="preserve">PAGEREF _Toc8 \h</w:instrText>
          <w:fldChar w:fldCharType="separate"/>
          <w:t xml:space="preserve">6</w:t>
          <w:fldChar w:fldCharType="end"/>
        </w:r>
      </w:hyperlink>
      <w:r/>
      <w:r/>
    </w:p>
    <w:p>
      <w:pPr>
        <w:pStyle w:val="1189"/>
        <w:tabs>
          <w:tab w:val="left" w:pos="850" w:leader="none"/>
          <w:tab w:val="right" w:pos="10195" w:leader="dot"/>
        </w:tabs>
      </w:pPr>
      <w:r/>
      <w:hyperlink w:tooltip="#_Toc9" w:anchor="_Toc9" w:history="1">
        <w:r>
          <w:rPr>
            <w:rFonts w:ascii="Times New Roman" w:hAnsi="Times New Roman" w:eastAsia="Times New Roman" w:cs="Times New Roman"/>
          </w:rPr>
          <w:t xml:space="preserve">1.7.</w:t>
        </w:r>
        <w:r>
          <w:tab/>
        </w:r>
        <w:r>
          <w:rPr>
            <w:rStyle w:val="1356"/>
          </w:rPr>
        </w:r>
        <w:r>
          <w:rPr>
            <w:rStyle w:val="1356"/>
          </w:rPr>
          <w:t xml:space="preserve">П</w:t>
        </w:r>
        <w:r>
          <w:rPr>
            <w:rStyle w:val="1356"/>
          </w:rPr>
          <w:t xml:space="preserve">редоставлени</w:t>
        </w:r>
        <w:r>
          <w:rPr>
            <w:rStyle w:val="1356"/>
          </w:rPr>
          <w:t xml:space="preserve">е</w:t>
        </w:r>
        <w:r>
          <w:rPr>
            <w:rStyle w:val="1356"/>
          </w:rPr>
          <w:t xml:space="preserve"> приоритетов </w:t>
        </w:r>
        <w:r>
          <w:rPr>
            <w:rStyle w:val="1356"/>
          </w:rPr>
          <w:t xml:space="preserve">продукции российского происхождения, работ, услуг, выполняемых, оказываемых российскими лицами</w:t>
        </w:r>
        <w:r>
          <w:rPr>
            <w:rStyle w:val="1356"/>
          </w:rPr>
          <w:t xml:space="preserve">.</w:t>
        </w:r>
        <w:r>
          <w:rPr>
            <w:rStyle w:val="1356"/>
          </w:rPr>
        </w:r>
        <w:r>
          <w:tab/>
        </w:r>
        <w:r>
          <w:fldChar w:fldCharType="begin"/>
          <w:instrText xml:space="preserve">PAGEREF _Toc9 \h</w:instrText>
          <w:fldChar w:fldCharType="separate"/>
          <w:t xml:space="preserve">6</w:t>
          <w:fldChar w:fldCharType="end"/>
        </w:r>
      </w:hyperlink>
      <w:r/>
      <w:r/>
    </w:p>
    <w:p>
      <w:pPr>
        <w:pStyle w:val="1189"/>
        <w:tabs>
          <w:tab w:val="left" w:pos="850" w:leader="none"/>
          <w:tab w:val="right" w:pos="10195" w:leader="dot"/>
        </w:tabs>
      </w:pPr>
      <w:r/>
      <w:hyperlink w:tooltip="#_Toc10" w:anchor="_Toc10" w:history="1">
        <w:r>
          <w:rPr>
            <w:rFonts w:ascii="Times New Roman" w:hAnsi="Times New Roman" w:eastAsia="Times New Roman" w:cs="Times New Roman"/>
          </w:rPr>
          <w:t xml:space="preserve">1.8.</w:t>
        </w:r>
        <w:r>
          <w:tab/>
        </w:r>
        <w:r>
          <w:rPr>
            <w:rStyle w:val="1356"/>
          </w:rPr>
        </w:r>
        <w:r>
          <w:rPr>
            <w:rStyle w:val="1356"/>
          </w:rPr>
          <w:t xml:space="preserve">Антимонопольная оговорка</w:t>
        </w:r>
        <w:r>
          <w:rPr>
            <w:rStyle w:val="1356"/>
          </w:rPr>
        </w:r>
        <w:r>
          <w:tab/>
        </w:r>
        <w:r>
          <w:fldChar w:fldCharType="begin"/>
          <w:instrText xml:space="preserve">PAGEREF _Toc10 \h</w:instrText>
          <w:fldChar w:fldCharType="separate"/>
          <w:t xml:space="preserve">6</w:t>
          <w:fldChar w:fldCharType="end"/>
        </w:r>
      </w:hyperlink>
      <w:r/>
      <w:r/>
    </w:p>
    <w:p>
      <w:pPr>
        <w:pStyle w:val="1188"/>
        <w:tabs>
          <w:tab w:val="left" w:pos="567" w:leader="none"/>
          <w:tab w:val="right" w:pos="10195" w:leader="dot"/>
        </w:tabs>
      </w:pPr>
      <w:r/>
      <w:hyperlink w:tooltip="#_Toc11" w:anchor="_Toc11" w:history="1">
        <w:r>
          <w:rPr>
            <w:rFonts w:ascii="Times New Roman" w:hAnsi="Times New Roman" w:eastAsia="Times New Roman" w:cs="Times New Roman"/>
          </w:rPr>
          <w:t xml:space="preserve">2.</w:t>
        </w:r>
        <w:r>
          <w:tab/>
        </w:r>
        <w:r>
          <w:rPr>
            <w:rStyle w:val="1356"/>
          </w:rPr>
        </w:r>
        <w:r>
          <w:rPr>
            <w:rStyle w:val="1356"/>
          </w:rPr>
          <w:t xml:space="preserve">ДОКУМЕНТАЦИЯ</w:t>
        </w:r>
        <w:r>
          <w:rPr>
            <w:rStyle w:val="1356"/>
          </w:rPr>
          <w:t xml:space="preserve"> О ЗАКУПКЕ</w:t>
        </w:r>
        <w:r>
          <w:rPr>
            <w:rStyle w:val="1356"/>
          </w:rPr>
        </w:r>
        <w:r>
          <w:tab/>
        </w:r>
        <w:r>
          <w:fldChar w:fldCharType="begin"/>
          <w:instrText xml:space="preserve">PAGEREF _Toc11 \h</w:instrText>
          <w:fldChar w:fldCharType="separate"/>
          <w:t xml:space="preserve">7</w:t>
          <w:fldChar w:fldCharType="end"/>
        </w:r>
      </w:hyperlink>
      <w:r/>
      <w:r/>
    </w:p>
    <w:p>
      <w:pPr>
        <w:pStyle w:val="1189"/>
        <w:tabs>
          <w:tab w:val="left" w:pos="850" w:leader="none"/>
          <w:tab w:val="right" w:pos="10195" w:leader="dot"/>
        </w:tabs>
      </w:pPr>
      <w:r/>
      <w:hyperlink w:tooltip="#_Toc12" w:anchor="_Toc12" w:history="1">
        <w:r>
          <w:rPr>
            <w:rFonts w:ascii="Times New Roman" w:hAnsi="Times New Roman" w:eastAsia="Times New Roman" w:cs="Times New Roman"/>
          </w:rPr>
          <w:t xml:space="preserve">2.1.</w:t>
        </w:r>
        <w:r>
          <w:tab/>
        </w:r>
        <w:r>
          <w:rPr>
            <w:rStyle w:val="1356"/>
          </w:rPr>
        </w:r>
        <w:r>
          <w:rPr>
            <w:rStyle w:val="1356"/>
          </w:rPr>
          <w:t xml:space="preserve">Предоставление документации</w:t>
        </w:r>
        <w:r>
          <w:rPr>
            <w:rStyle w:val="1356"/>
          </w:rPr>
          <w:t xml:space="preserve"> о закупке</w:t>
        </w:r>
        <w:r>
          <w:rPr>
            <w:rStyle w:val="1356"/>
          </w:rPr>
        </w:r>
        <w:r>
          <w:tab/>
        </w:r>
        <w:r>
          <w:fldChar w:fldCharType="begin"/>
          <w:instrText xml:space="preserve">PAGEREF _Toc12 \h</w:instrText>
          <w:fldChar w:fldCharType="separate"/>
          <w:t xml:space="preserve">7</w:t>
          <w:fldChar w:fldCharType="end"/>
        </w:r>
      </w:hyperlink>
      <w:r/>
      <w:r/>
    </w:p>
    <w:p>
      <w:pPr>
        <w:pStyle w:val="1189"/>
        <w:tabs>
          <w:tab w:val="left" w:pos="850" w:leader="none"/>
          <w:tab w:val="right" w:pos="10195" w:leader="dot"/>
        </w:tabs>
      </w:pPr>
      <w:r/>
      <w:hyperlink w:tooltip="#_Toc13" w:anchor="_Toc13" w:history="1">
        <w:r>
          <w:rPr>
            <w:rFonts w:ascii="Times New Roman" w:hAnsi="Times New Roman" w:eastAsia="Times New Roman" w:cs="Times New Roman"/>
          </w:rPr>
          <w:t xml:space="preserve">2.2.</w:t>
        </w:r>
        <w:r>
          <w:tab/>
        </w:r>
        <w:r>
          <w:rPr>
            <w:rStyle w:val="1356"/>
          </w:rPr>
        </w:r>
        <w:r>
          <w:rPr>
            <w:rStyle w:val="1356"/>
          </w:rPr>
          <w:t xml:space="preserve">Разъяснение положений документации</w:t>
        </w:r>
        <w:r>
          <w:rPr>
            <w:rStyle w:val="1356"/>
          </w:rPr>
          <w:t xml:space="preserve"> о закупке</w:t>
        </w:r>
        <w:r>
          <w:rPr>
            <w:rStyle w:val="1356"/>
          </w:rPr>
        </w:r>
        <w:r>
          <w:tab/>
        </w:r>
        <w:r>
          <w:fldChar w:fldCharType="begin"/>
          <w:instrText xml:space="preserve">PAGEREF _Toc13 \h</w:instrText>
          <w:fldChar w:fldCharType="separate"/>
          <w:t xml:space="preserve">7</w:t>
          <w:fldChar w:fldCharType="end"/>
        </w:r>
      </w:hyperlink>
      <w:r/>
      <w:r/>
    </w:p>
    <w:p>
      <w:pPr>
        <w:pStyle w:val="1189"/>
        <w:tabs>
          <w:tab w:val="left" w:pos="850" w:leader="none"/>
          <w:tab w:val="right" w:pos="10195" w:leader="dot"/>
        </w:tabs>
      </w:pPr>
      <w:r/>
      <w:hyperlink w:tooltip="#_Toc14" w:anchor="_Toc14" w:history="1">
        <w:r>
          <w:rPr>
            <w:rFonts w:ascii="Times New Roman" w:hAnsi="Times New Roman" w:eastAsia="Times New Roman" w:cs="Times New Roman"/>
          </w:rPr>
          <w:t xml:space="preserve">2.3.</w:t>
        </w:r>
        <w:r>
          <w:tab/>
        </w:r>
        <w:r>
          <w:rPr>
            <w:rStyle w:val="1356"/>
          </w:rPr>
        </w:r>
        <w:r>
          <w:rPr>
            <w:rStyle w:val="1356"/>
          </w:rPr>
          <w:t xml:space="preserve">Внесение изменений в извещение о </w:t>
        </w:r>
        <w:r>
          <w:rPr>
            <w:rStyle w:val="1356"/>
          </w:rPr>
          <w:t xml:space="preserve">закупке и/или документацию о закупке</w:t>
        </w:r>
        <w:r>
          <w:rPr>
            <w:rStyle w:val="1356"/>
          </w:rPr>
        </w:r>
        <w:r>
          <w:tab/>
        </w:r>
        <w:r>
          <w:fldChar w:fldCharType="begin"/>
          <w:instrText xml:space="preserve">PAGEREF _Toc14 \h</w:instrText>
          <w:fldChar w:fldCharType="separate"/>
          <w:t xml:space="preserve">7</w:t>
          <w:fldChar w:fldCharType="end"/>
        </w:r>
      </w:hyperlink>
      <w:r/>
      <w:r/>
    </w:p>
    <w:p>
      <w:pPr>
        <w:pStyle w:val="1189"/>
        <w:tabs>
          <w:tab w:val="left" w:pos="850" w:leader="none"/>
          <w:tab w:val="right" w:pos="10195" w:leader="dot"/>
        </w:tabs>
      </w:pPr>
      <w:r/>
      <w:hyperlink w:tooltip="#_Toc15" w:anchor="_Toc15" w:history="1">
        <w:r>
          <w:rPr>
            <w:rFonts w:ascii="Times New Roman" w:hAnsi="Times New Roman" w:eastAsia="Times New Roman" w:cs="Times New Roman"/>
          </w:rPr>
          <w:t xml:space="preserve">2.4.</w:t>
        </w:r>
        <w:r>
          <w:tab/>
        </w:r>
        <w:r>
          <w:rPr>
            <w:rStyle w:val="1356"/>
          </w:rPr>
        </w:r>
        <w:r>
          <w:rPr>
            <w:rStyle w:val="1356"/>
          </w:rPr>
          <w:t xml:space="preserve">Отмена </w:t>
        </w:r>
        <w:r>
          <w:rPr>
            <w:rStyle w:val="1356"/>
          </w:rPr>
          <w:t xml:space="preserve">закупки</w:t>
        </w:r>
        <w:r>
          <w:rPr>
            <w:rStyle w:val="1356"/>
          </w:rPr>
        </w:r>
        <w:r>
          <w:tab/>
        </w:r>
        <w:r>
          <w:fldChar w:fldCharType="begin"/>
          <w:instrText xml:space="preserve">PAGEREF _Toc15 \h</w:instrText>
          <w:fldChar w:fldCharType="separate"/>
          <w:t xml:space="preserve">7</w:t>
          <w:fldChar w:fldCharType="end"/>
        </w:r>
      </w:hyperlink>
      <w:r/>
      <w:r/>
    </w:p>
    <w:p>
      <w:pPr>
        <w:pStyle w:val="1188"/>
        <w:tabs>
          <w:tab w:val="left" w:pos="567" w:leader="none"/>
          <w:tab w:val="right" w:pos="10195" w:leader="dot"/>
        </w:tabs>
      </w:pPr>
      <w:r/>
      <w:hyperlink w:tooltip="#_Toc16" w:anchor="_Toc16" w:history="1">
        <w:r>
          <w:rPr>
            <w:rFonts w:ascii="Times New Roman" w:hAnsi="Times New Roman" w:eastAsia="Times New Roman" w:cs="Times New Roman"/>
          </w:rPr>
          <w:t xml:space="preserve">3.</w:t>
        </w:r>
        <w:r>
          <w:tab/>
        </w:r>
        <w:r>
          <w:rPr>
            <w:rStyle w:val="1356"/>
          </w:rPr>
        </w:r>
        <w:r>
          <w:rPr>
            <w:rStyle w:val="1356"/>
          </w:rPr>
          <w:t xml:space="preserve">ТРЕБОВАНИЯ К СОДЕРЖАНИЮ ЗАЯВКИ НА УЧАСТИЕ В </w:t>
        </w:r>
        <w:r>
          <w:rPr>
            <w:rStyle w:val="1356"/>
          </w:rPr>
          <w:t xml:space="preserve">ЗАКУПКЕ</w:t>
        </w:r>
        <w:r>
          <w:rPr>
            <w:rStyle w:val="1356"/>
          </w:rPr>
        </w:r>
        <w:r>
          <w:tab/>
        </w:r>
        <w:r>
          <w:fldChar w:fldCharType="begin"/>
          <w:instrText xml:space="preserve">PAGEREF _Toc16 \h</w:instrText>
          <w:fldChar w:fldCharType="separate"/>
          <w:t xml:space="preserve">8</w:t>
          <w:fldChar w:fldCharType="end"/>
        </w:r>
      </w:hyperlink>
      <w:r/>
      <w:r/>
    </w:p>
    <w:p>
      <w:pPr>
        <w:pStyle w:val="1189"/>
        <w:tabs>
          <w:tab w:val="left" w:pos="850" w:leader="none"/>
          <w:tab w:val="right" w:pos="10195" w:leader="dot"/>
        </w:tabs>
      </w:pPr>
      <w:r/>
      <w:hyperlink w:tooltip="#_Toc17" w:anchor="_Toc17" w:history="1">
        <w:r>
          <w:rPr>
            <w:rFonts w:ascii="Times New Roman" w:hAnsi="Times New Roman" w:eastAsia="Times New Roman" w:cs="Times New Roman"/>
          </w:rPr>
          <w:t xml:space="preserve">3.1.</w:t>
        </w:r>
        <w:r>
          <w:tab/>
        </w:r>
        <w:r>
          <w:rPr>
            <w:rStyle w:val="1356"/>
          </w:rPr>
        </w:r>
        <w:r>
          <w:rPr>
            <w:rStyle w:val="1356"/>
          </w:rPr>
          <w:t xml:space="preserve">Требования к оформлению заявки на участие в закупке</w:t>
        </w:r>
        <w:r>
          <w:rPr>
            <w:rStyle w:val="1356"/>
          </w:rPr>
        </w:r>
        <w:r>
          <w:tab/>
        </w:r>
        <w:r>
          <w:fldChar w:fldCharType="begin"/>
          <w:instrText xml:space="preserve">PAGEREF _Toc17 \h</w:instrText>
          <w:fldChar w:fldCharType="separate"/>
          <w:t xml:space="preserve">8</w:t>
          <w:fldChar w:fldCharType="end"/>
        </w:r>
      </w:hyperlink>
      <w:r/>
      <w:r/>
    </w:p>
    <w:p>
      <w:pPr>
        <w:pStyle w:val="1189"/>
        <w:tabs>
          <w:tab w:val="left" w:pos="850" w:leader="none"/>
          <w:tab w:val="right" w:pos="10195" w:leader="dot"/>
        </w:tabs>
      </w:pPr>
      <w:r/>
      <w:hyperlink w:tooltip="#_Toc18" w:anchor="_Toc18" w:history="1">
        <w:r>
          <w:rPr>
            <w:rFonts w:ascii="Times New Roman" w:hAnsi="Times New Roman" w:eastAsia="Times New Roman" w:cs="Times New Roman"/>
          </w:rPr>
          <w:t xml:space="preserve">3.2.</w:t>
        </w:r>
        <w:r>
          <w:tab/>
        </w:r>
        <w:r>
          <w:rPr>
            <w:rStyle w:val="1356"/>
          </w:rPr>
        </w:r>
        <w:r>
          <w:rPr>
            <w:rStyle w:val="1356"/>
          </w:rPr>
          <w:t xml:space="preserve">Язык документов, входящих в состав заявки на участие в </w:t>
        </w:r>
        <w:r>
          <w:rPr>
            <w:rStyle w:val="1356"/>
          </w:rPr>
          <w:t xml:space="preserve">закупке</w:t>
        </w:r>
        <w:r>
          <w:rPr>
            <w:rStyle w:val="1356"/>
          </w:rPr>
        </w:r>
        <w:r>
          <w:tab/>
        </w:r>
        <w:r>
          <w:fldChar w:fldCharType="begin"/>
          <w:instrText xml:space="preserve">PAGEREF _Toc18 \h</w:instrText>
          <w:fldChar w:fldCharType="separate"/>
          <w:t xml:space="preserve">8</w:t>
          <w:fldChar w:fldCharType="end"/>
        </w:r>
      </w:hyperlink>
      <w:r/>
      <w:r/>
    </w:p>
    <w:p>
      <w:pPr>
        <w:pStyle w:val="1189"/>
        <w:tabs>
          <w:tab w:val="left" w:pos="850" w:leader="none"/>
          <w:tab w:val="right" w:pos="10195" w:leader="dot"/>
        </w:tabs>
      </w:pPr>
      <w:r/>
      <w:hyperlink w:tooltip="#_Toc19" w:anchor="_Toc19" w:history="1">
        <w:r>
          <w:rPr>
            <w:rFonts w:ascii="Times New Roman" w:hAnsi="Times New Roman" w:eastAsia="Times New Roman" w:cs="Times New Roman"/>
          </w:rPr>
          <w:t xml:space="preserve">3.3.</w:t>
        </w:r>
        <w:r>
          <w:tab/>
        </w:r>
        <w:r>
          <w:rPr>
            <w:rStyle w:val="1356"/>
          </w:rPr>
        </w:r>
        <w:r>
          <w:rPr>
            <w:rStyle w:val="1356"/>
          </w:rPr>
          <w:t xml:space="preserve">Требования к валюте заявки</w:t>
        </w:r>
        <w:r>
          <w:rPr>
            <w:rStyle w:val="1356"/>
          </w:rPr>
        </w:r>
        <w:r>
          <w:tab/>
        </w:r>
        <w:r>
          <w:fldChar w:fldCharType="begin"/>
          <w:instrText xml:space="preserve">PAGEREF _Toc19 \h</w:instrText>
          <w:fldChar w:fldCharType="separate"/>
          <w:t xml:space="preserve">8</w:t>
          <w:fldChar w:fldCharType="end"/>
        </w:r>
      </w:hyperlink>
      <w:r/>
      <w:r/>
    </w:p>
    <w:p>
      <w:pPr>
        <w:pStyle w:val="1189"/>
        <w:tabs>
          <w:tab w:val="left" w:pos="850" w:leader="none"/>
          <w:tab w:val="right" w:pos="10195" w:leader="dot"/>
        </w:tabs>
      </w:pPr>
      <w:r/>
      <w:hyperlink w:tooltip="#_Toc20" w:anchor="_Toc20" w:history="1">
        <w:r>
          <w:rPr>
            <w:rFonts w:ascii="Times New Roman" w:hAnsi="Times New Roman" w:eastAsia="Times New Roman" w:cs="Times New Roman"/>
          </w:rPr>
          <w:t xml:space="preserve">3.4.</w:t>
        </w:r>
        <w:r>
          <w:tab/>
        </w:r>
        <w:r>
          <w:rPr>
            <w:rStyle w:val="1356"/>
          </w:rPr>
        </w:r>
        <w:r>
          <w:rPr>
            <w:rStyle w:val="1356"/>
          </w:rPr>
          <w:t xml:space="preserve">Требования к составу заявки на участие в закупке</w:t>
        </w:r>
        <w:r>
          <w:rPr>
            <w:rStyle w:val="1356"/>
          </w:rPr>
        </w:r>
        <w:r>
          <w:tab/>
        </w:r>
        <w:r>
          <w:fldChar w:fldCharType="begin"/>
          <w:instrText xml:space="preserve">PAGEREF _Toc20 \h</w:instrText>
          <w:fldChar w:fldCharType="separate"/>
          <w:t xml:space="preserve">9</w:t>
          <w:fldChar w:fldCharType="end"/>
        </w:r>
      </w:hyperlink>
      <w:r/>
      <w:r/>
    </w:p>
    <w:p>
      <w:pPr>
        <w:pStyle w:val="1189"/>
        <w:tabs>
          <w:tab w:val="left" w:pos="850" w:leader="none"/>
          <w:tab w:val="right" w:pos="10195" w:leader="dot"/>
        </w:tabs>
      </w:pPr>
      <w:r/>
      <w:hyperlink w:tooltip="#_Toc21" w:anchor="_Toc21" w:history="1">
        <w:r>
          <w:rPr>
            <w:rFonts w:ascii="Times New Roman" w:hAnsi="Times New Roman" w:eastAsia="Times New Roman" w:cs="Times New Roman"/>
          </w:rPr>
          <w:t xml:space="preserve">3.5.</w:t>
        </w:r>
        <w:r>
          <w:tab/>
        </w:r>
        <w:r>
          <w:rPr>
            <w:rStyle w:val="1356"/>
          </w:rPr>
        </w:r>
        <w:r>
          <w:rPr>
            <w:rStyle w:val="1356"/>
          </w:rPr>
          <w:t xml:space="preserve">Требования к описанию </w:t>
        </w:r>
        <w:r>
          <w:rPr>
            <w:rStyle w:val="1356"/>
          </w:rPr>
          <w:t xml:space="preserve">предложения участника </w:t>
        </w:r>
        <w:r>
          <w:rPr>
            <w:rStyle w:val="1356"/>
          </w:rPr>
          <w:t xml:space="preserve">закупки</w:t>
        </w:r>
        <w:r>
          <w:rPr>
            <w:rStyle w:val="1356"/>
          </w:rPr>
        </w:r>
        <w:r>
          <w:tab/>
        </w:r>
        <w:r>
          <w:fldChar w:fldCharType="begin"/>
          <w:instrText xml:space="preserve">PAGEREF _Toc21 \h</w:instrText>
          <w:fldChar w:fldCharType="separate"/>
          <w:t xml:space="preserve">10</w:t>
          <w:fldChar w:fldCharType="end"/>
        </w:r>
      </w:hyperlink>
      <w:r/>
      <w:r/>
    </w:p>
    <w:p>
      <w:pPr>
        <w:pStyle w:val="1189"/>
        <w:tabs>
          <w:tab w:val="left" w:pos="850" w:leader="none"/>
          <w:tab w:val="right" w:pos="10195" w:leader="dot"/>
        </w:tabs>
      </w:pPr>
      <w:r/>
      <w:hyperlink w:tooltip="#_Toc22" w:anchor="_Toc22" w:history="1">
        <w:r>
          <w:rPr>
            <w:rFonts w:ascii="Times New Roman" w:hAnsi="Times New Roman" w:eastAsia="Times New Roman" w:cs="Times New Roman"/>
          </w:rPr>
          <w:t xml:space="preserve">3.6.</w:t>
        </w:r>
        <w:r>
          <w:tab/>
        </w:r>
        <w:r>
          <w:rPr>
            <w:rStyle w:val="1356"/>
          </w:rPr>
        </w:r>
        <w:r>
          <w:rPr>
            <w:rStyle w:val="1356"/>
          </w:rPr>
          <w:t xml:space="preserve">Требования к обеспечению заявок на участие в </w:t>
        </w:r>
        <w:r>
          <w:rPr>
            <w:rStyle w:val="1356"/>
          </w:rPr>
          <w:t xml:space="preserve">закупке</w:t>
        </w:r>
        <w:r>
          <w:rPr>
            <w:rStyle w:val="1356"/>
          </w:rPr>
        </w:r>
        <w:r>
          <w:tab/>
        </w:r>
        <w:r>
          <w:fldChar w:fldCharType="begin"/>
          <w:instrText xml:space="preserve">PAGEREF _Toc22 \h</w:instrText>
          <w:fldChar w:fldCharType="separate"/>
          <w:t xml:space="preserve">11</w:t>
          <w:fldChar w:fldCharType="end"/>
        </w:r>
      </w:hyperlink>
      <w:r/>
      <w:r/>
    </w:p>
    <w:p>
      <w:pPr>
        <w:pStyle w:val="1189"/>
        <w:tabs>
          <w:tab w:val="left" w:pos="850" w:leader="none"/>
          <w:tab w:val="right" w:pos="10195" w:leader="dot"/>
        </w:tabs>
      </w:pPr>
      <w:r/>
      <w:hyperlink w:tooltip="#_Toc23" w:anchor="_Toc23" w:history="1">
        <w:r>
          <w:rPr>
            <w:rFonts w:ascii="Times New Roman" w:hAnsi="Times New Roman" w:eastAsia="Times New Roman" w:cs="Times New Roman"/>
          </w:rPr>
          <w:t xml:space="preserve">3.7.</w:t>
        </w:r>
        <w:r>
          <w:tab/>
        </w:r>
        <w:r>
          <w:rPr>
            <w:rStyle w:val="1356"/>
          </w:rPr>
        </w:r>
        <w:r>
          <w:rPr>
            <w:rStyle w:val="1356"/>
          </w:rPr>
          <w:t xml:space="preserve">Порядок действий, осуществляемых Заказчиком в ходе проведения закупки, в случае предложения участником закупки аномально низкой цены</w:t>
        </w:r>
        <w:r>
          <w:rPr>
            <w:rStyle w:val="1356"/>
          </w:rPr>
          <w:t xml:space="preserve"> </w:t>
        </w:r>
        <w:r>
          <w:rPr>
            <w:rStyle w:val="1356"/>
          </w:rPr>
        </w:r>
        <w:r>
          <w:tab/>
        </w:r>
        <w:r>
          <w:fldChar w:fldCharType="begin"/>
          <w:instrText xml:space="preserve">PAGEREF _Toc23 \h</w:instrText>
          <w:fldChar w:fldCharType="separate"/>
          <w:t xml:space="preserve">12</w:t>
          <w:fldChar w:fldCharType="end"/>
        </w:r>
      </w:hyperlink>
      <w:r/>
      <w:r/>
    </w:p>
    <w:p>
      <w:pPr>
        <w:pStyle w:val="1188"/>
        <w:tabs>
          <w:tab w:val="left" w:pos="567" w:leader="none"/>
          <w:tab w:val="right" w:pos="10195" w:leader="dot"/>
        </w:tabs>
      </w:pPr>
      <w:r/>
      <w:hyperlink w:tooltip="#_Toc24" w:anchor="_Toc24" w:history="1">
        <w:r>
          <w:rPr>
            <w:rFonts w:ascii="Times New Roman" w:hAnsi="Times New Roman" w:eastAsia="Times New Roman" w:cs="Times New Roman"/>
          </w:rPr>
          <w:t xml:space="preserve">4.</w:t>
        </w:r>
        <w:r>
          <w:tab/>
        </w:r>
        <w:r>
          <w:rPr>
            <w:rStyle w:val="1356"/>
          </w:rPr>
        </w:r>
        <w:r>
          <w:rPr>
            <w:rStyle w:val="1356"/>
          </w:rPr>
          <w:t xml:space="preserve">ПОДАЧА ЗАЯВОК НА УЧАСТИЕ В </w:t>
        </w:r>
        <w:r>
          <w:rPr>
            <w:rStyle w:val="1356"/>
          </w:rPr>
          <w:t xml:space="preserve">ЗАКУПКЕ</w:t>
        </w:r>
        <w:r>
          <w:rPr>
            <w:rStyle w:val="1356"/>
          </w:rPr>
        </w:r>
        <w:r>
          <w:tab/>
        </w:r>
        <w:r>
          <w:fldChar w:fldCharType="begin"/>
          <w:instrText xml:space="preserve">PAGEREF _Toc24 \h</w:instrText>
          <w:fldChar w:fldCharType="separate"/>
          <w:t xml:space="preserve">13</w:t>
          <w:fldChar w:fldCharType="end"/>
        </w:r>
      </w:hyperlink>
      <w:r/>
      <w:r/>
    </w:p>
    <w:p>
      <w:pPr>
        <w:pStyle w:val="1189"/>
        <w:tabs>
          <w:tab w:val="left" w:pos="850" w:leader="none"/>
          <w:tab w:val="right" w:pos="10195" w:leader="dot"/>
        </w:tabs>
      </w:pPr>
      <w:r/>
      <w:hyperlink w:tooltip="#_Toc25" w:anchor="_Toc25" w:history="1">
        <w:r>
          <w:rPr>
            <w:rFonts w:ascii="Times New Roman" w:hAnsi="Times New Roman" w:eastAsia="Times New Roman" w:cs="Times New Roman"/>
          </w:rPr>
          <w:t xml:space="preserve">4.1.</w:t>
        </w:r>
        <w:r>
          <w:tab/>
        </w:r>
        <w:r>
          <w:rPr>
            <w:rStyle w:val="1356"/>
          </w:rPr>
        </w:r>
        <w:r>
          <w:rPr>
            <w:rStyle w:val="1356"/>
          </w:rPr>
          <w:t xml:space="preserve">Порядок, место, дата начала и дата окончания срока подачи заявок на участие в </w:t>
        </w:r>
        <w:r>
          <w:rPr>
            <w:rStyle w:val="1356"/>
          </w:rPr>
          <w:t xml:space="preserve">закупке</w:t>
        </w:r>
        <w:r>
          <w:rPr>
            <w:rStyle w:val="1356"/>
          </w:rPr>
        </w:r>
        <w:r>
          <w:tab/>
        </w:r>
        <w:r>
          <w:fldChar w:fldCharType="begin"/>
          <w:instrText xml:space="preserve">PAGEREF _Toc25 \h</w:instrText>
          <w:fldChar w:fldCharType="separate"/>
          <w:t xml:space="preserve">13</w:t>
          <w:fldChar w:fldCharType="end"/>
        </w:r>
      </w:hyperlink>
      <w:r/>
      <w:r/>
    </w:p>
    <w:p>
      <w:pPr>
        <w:pStyle w:val="1189"/>
        <w:tabs>
          <w:tab w:val="left" w:pos="850" w:leader="none"/>
          <w:tab w:val="right" w:pos="10195" w:leader="dot"/>
        </w:tabs>
      </w:pPr>
      <w:r/>
      <w:hyperlink w:tooltip="#_Toc26" w:anchor="_Toc26" w:history="1">
        <w:r>
          <w:rPr>
            <w:rFonts w:ascii="Times New Roman" w:hAnsi="Times New Roman" w:eastAsia="Times New Roman" w:cs="Times New Roman"/>
          </w:rPr>
          <w:t xml:space="preserve">4.2.</w:t>
        </w:r>
        <w:r>
          <w:tab/>
        </w:r>
        <w:r>
          <w:rPr>
            <w:rStyle w:val="1356"/>
          </w:rPr>
        </w:r>
        <w:r>
          <w:rPr>
            <w:rStyle w:val="1356"/>
          </w:rPr>
          <w:t xml:space="preserve">Изменения и отзыв заявок на участие в </w:t>
        </w:r>
        <w:r>
          <w:rPr>
            <w:rStyle w:val="1356"/>
          </w:rPr>
          <w:t xml:space="preserve">закупке</w:t>
        </w:r>
        <w:r>
          <w:rPr>
            <w:rStyle w:val="1356"/>
          </w:rPr>
        </w:r>
        <w:r>
          <w:tab/>
        </w:r>
        <w:r>
          <w:fldChar w:fldCharType="begin"/>
          <w:instrText xml:space="preserve">PAGEREF _Toc26 \h</w:instrText>
          <w:fldChar w:fldCharType="separate"/>
          <w:t xml:space="preserve">14</w:t>
          <w:fldChar w:fldCharType="end"/>
        </w:r>
      </w:hyperlink>
      <w:r/>
      <w:r/>
    </w:p>
    <w:p>
      <w:pPr>
        <w:pStyle w:val="1188"/>
        <w:tabs>
          <w:tab w:val="left" w:pos="567" w:leader="none"/>
          <w:tab w:val="right" w:pos="10195" w:leader="dot"/>
        </w:tabs>
      </w:pPr>
      <w:r/>
      <w:hyperlink w:tooltip="#_Toc27" w:anchor="_Toc27" w:history="1">
        <w:r>
          <w:rPr>
            <w:rFonts w:ascii="Times New Roman" w:hAnsi="Times New Roman" w:eastAsia="Times New Roman" w:cs="Times New Roman"/>
          </w:rPr>
          <w:t xml:space="preserve">5.</w:t>
        </w:r>
        <w:r>
          <w:tab/>
        </w:r>
        <w:r>
          <w:rPr>
            <w:rStyle w:val="1356"/>
          </w:rPr>
        </w:r>
        <w:r>
          <w:rPr>
            <w:rStyle w:val="1356"/>
          </w:rPr>
          <w:t xml:space="preserve">ПОРЯДОК ПРОВ</w:t>
        </w:r>
        <w:r>
          <w:rPr>
            <w:rStyle w:val="1356"/>
          </w:rPr>
          <w:t xml:space="preserve">ЕДЕНИЯ ЗАКУПКИ</w:t>
        </w:r>
        <w:r>
          <w:rPr>
            <w:rStyle w:val="1356"/>
          </w:rPr>
        </w:r>
        <w:r>
          <w:tab/>
        </w:r>
        <w:r>
          <w:fldChar w:fldCharType="begin"/>
          <w:instrText xml:space="preserve">PAGEREF _Toc27 \h</w:instrText>
          <w:fldChar w:fldCharType="separate"/>
          <w:t xml:space="preserve">14</w:t>
          <w:fldChar w:fldCharType="end"/>
        </w:r>
      </w:hyperlink>
      <w:r/>
      <w:r/>
    </w:p>
    <w:p>
      <w:pPr>
        <w:pStyle w:val="1189"/>
        <w:tabs>
          <w:tab w:val="left" w:pos="850" w:leader="none"/>
          <w:tab w:val="right" w:pos="10195" w:leader="dot"/>
        </w:tabs>
      </w:pPr>
      <w:r/>
      <w:hyperlink w:tooltip="#_Toc28" w:anchor="_Toc28" w:history="1">
        <w:r>
          <w:rPr>
            <w:rFonts w:ascii="Times New Roman" w:hAnsi="Times New Roman" w:eastAsia="Times New Roman" w:cs="Times New Roman"/>
          </w:rPr>
          <w:t xml:space="preserve">5.1.</w:t>
        </w:r>
        <w:r>
          <w:tab/>
        </w:r>
        <w:r>
          <w:rPr>
            <w:rStyle w:val="1356"/>
          </w:rPr>
        </w:r>
        <w:r>
          <w:rPr>
            <w:rStyle w:val="1356"/>
          </w:rPr>
          <w:t xml:space="preserve">Закупочная комиссия</w:t>
        </w:r>
        <w:r>
          <w:rPr>
            <w:rStyle w:val="1356"/>
          </w:rPr>
        </w:r>
        <w:r>
          <w:tab/>
        </w:r>
        <w:r>
          <w:fldChar w:fldCharType="begin"/>
          <w:instrText xml:space="preserve">PAGEREF _Toc28 \h</w:instrText>
          <w:fldChar w:fldCharType="separate"/>
          <w:t xml:space="preserve">14</w:t>
          <w:fldChar w:fldCharType="end"/>
        </w:r>
      </w:hyperlink>
      <w:r/>
      <w:r/>
    </w:p>
    <w:p>
      <w:pPr>
        <w:pStyle w:val="1189"/>
        <w:tabs>
          <w:tab w:val="left" w:pos="850" w:leader="none"/>
          <w:tab w:val="right" w:pos="10195" w:leader="dot"/>
        </w:tabs>
      </w:pPr>
      <w:r/>
      <w:hyperlink w:tooltip="#_Toc29" w:anchor="_Toc29" w:history="1">
        <w:r>
          <w:rPr>
            <w:rFonts w:ascii="Times New Roman" w:hAnsi="Times New Roman" w:eastAsia="Times New Roman" w:cs="Times New Roman"/>
          </w:rPr>
          <w:t xml:space="preserve">5.2.</w:t>
        </w:r>
        <w:r>
          <w:tab/>
        </w:r>
        <w:r>
          <w:rPr>
            <w:rStyle w:val="1356"/>
          </w:rPr>
        </w:r>
        <w:r>
          <w:rPr>
            <w:rStyle w:val="1356"/>
          </w:rPr>
          <w:t xml:space="preserve">Требования к процедуре рассмотрения, оценки и сопоставления заявок участников закупки</w:t>
        </w:r>
        <w:r>
          <w:rPr>
            <w:rStyle w:val="1356"/>
          </w:rPr>
        </w:r>
        <w:r>
          <w:tab/>
        </w:r>
        <w:r>
          <w:fldChar w:fldCharType="begin"/>
          <w:instrText xml:space="preserve">PAGEREF _Toc29 \h</w:instrText>
          <w:fldChar w:fldCharType="separate"/>
          <w:t xml:space="preserve">14</w:t>
          <w:fldChar w:fldCharType="end"/>
        </w:r>
      </w:hyperlink>
      <w:r/>
      <w:r/>
    </w:p>
    <w:p>
      <w:pPr>
        <w:pStyle w:val="1189"/>
        <w:tabs>
          <w:tab w:val="left" w:pos="850" w:leader="none"/>
          <w:tab w:val="right" w:pos="10195" w:leader="dot"/>
        </w:tabs>
      </w:pPr>
      <w:r/>
      <w:hyperlink w:tooltip="#_Toc30" w:anchor="_Toc30" w:history="1">
        <w:r>
          <w:rPr>
            <w:rFonts w:ascii="Times New Roman" w:hAnsi="Times New Roman" w:eastAsia="Times New Roman" w:cs="Times New Roman"/>
          </w:rPr>
          <w:t xml:space="preserve">5.3.</w:t>
        </w:r>
        <w:r>
          <w:tab/>
        </w:r>
        <w:r>
          <w:rPr>
            <w:rStyle w:val="1356"/>
          </w:rPr>
        </w:r>
        <w:r>
          <w:rPr>
            <w:rStyle w:val="1356"/>
          </w:rPr>
          <w:t xml:space="preserve">Критерии оценки заявок участников закупки</w:t>
        </w:r>
        <w:r>
          <w:rPr>
            <w:rStyle w:val="1356"/>
          </w:rPr>
        </w:r>
        <w:r>
          <w:tab/>
        </w:r>
        <w:r>
          <w:fldChar w:fldCharType="begin"/>
          <w:instrText xml:space="preserve">PAGEREF _Toc30 \h</w:instrText>
          <w:fldChar w:fldCharType="separate"/>
          <w:t xml:space="preserve">15</w:t>
          <w:fldChar w:fldCharType="end"/>
        </w:r>
      </w:hyperlink>
      <w:r/>
      <w:r/>
    </w:p>
    <w:p>
      <w:pPr>
        <w:pStyle w:val="1189"/>
        <w:tabs>
          <w:tab w:val="left" w:pos="850" w:leader="none"/>
          <w:tab w:val="right" w:pos="10195" w:leader="dot"/>
        </w:tabs>
      </w:pPr>
      <w:r/>
      <w:hyperlink w:tooltip="#_Toc31" w:anchor="_Toc31" w:history="1">
        <w:r>
          <w:rPr>
            <w:rFonts w:ascii="Times New Roman" w:hAnsi="Times New Roman" w:eastAsia="Times New Roman" w:cs="Times New Roman"/>
          </w:rPr>
          <w:t xml:space="preserve">5.4.</w:t>
        </w:r>
        <w:r>
          <w:tab/>
        </w:r>
        <w:r>
          <w:rPr>
            <w:rStyle w:val="1356"/>
          </w:rPr>
        </w:r>
        <w:r>
          <w:rPr>
            <w:rStyle w:val="1356"/>
          </w:rPr>
          <w:t xml:space="preserve">Особенно</w:t>
        </w:r>
        <w:r>
          <w:rPr>
            <w:rStyle w:val="1356"/>
          </w:rPr>
          <w:t xml:space="preserve">сти осуществления рассмотрения общих</w:t>
        </w:r>
        <w:r>
          <w:rPr>
            <w:rStyle w:val="1356"/>
          </w:rPr>
          <w:t xml:space="preserve"> частей заявок</w:t>
        </w:r>
        <w:r>
          <w:rPr>
            <w:rStyle w:val="1356"/>
          </w:rPr>
          <w:t xml:space="preserve">.</w:t>
        </w:r>
        <w:r>
          <w:rPr>
            <w:rStyle w:val="1356"/>
          </w:rPr>
        </w:r>
        <w:r>
          <w:tab/>
        </w:r>
        <w:r>
          <w:fldChar w:fldCharType="begin"/>
          <w:instrText xml:space="preserve">PAGEREF _Toc31 \h</w:instrText>
          <w:fldChar w:fldCharType="separate"/>
          <w:t xml:space="preserve">16</w:t>
          <w:fldChar w:fldCharType="end"/>
        </w:r>
      </w:hyperlink>
      <w:r/>
      <w:r/>
    </w:p>
    <w:p>
      <w:pPr>
        <w:pStyle w:val="1189"/>
        <w:tabs>
          <w:tab w:val="left" w:pos="850" w:leader="none"/>
          <w:tab w:val="right" w:pos="10195" w:leader="dot"/>
        </w:tabs>
      </w:pPr>
      <w:r/>
      <w:hyperlink w:tooltip="#_Toc32" w:anchor="_Toc32" w:history="1">
        <w:r>
          <w:rPr>
            <w:rFonts w:ascii="Times New Roman" w:hAnsi="Times New Roman" w:eastAsia="Times New Roman" w:cs="Times New Roman"/>
          </w:rPr>
          <w:t xml:space="preserve">5.5.</w:t>
        </w:r>
        <w:r>
          <w:tab/>
        </w:r>
        <w:r>
          <w:rPr>
            <w:rStyle w:val="1356"/>
          </w:rPr>
        </w:r>
        <w:r>
          <w:rPr>
            <w:rStyle w:val="1356"/>
          </w:rPr>
          <w:t xml:space="preserve">Особенности осуществления</w:t>
        </w:r>
        <w:r>
          <w:rPr>
            <w:rStyle w:val="1356"/>
          </w:rPr>
          <w:t xml:space="preserve"> </w:t>
        </w:r>
        <w:r>
          <w:rPr>
            <w:rStyle w:val="1356"/>
          </w:rPr>
          <w:t xml:space="preserve">рассмотрения и сопоставления ценовых предложений участников закупки</w:t>
        </w:r>
        <w:r>
          <w:rPr>
            <w:rStyle w:val="1356"/>
          </w:rPr>
        </w:r>
        <w:r>
          <w:tab/>
        </w:r>
        <w:r>
          <w:fldChar w:fldCharType="begin"/>
          <w:instrText xml:space="preserve">PAGEREF _Toc32 \h</w:instrText>
          <w:fldChar w:fldCharType="separate"/>
          <w:t xml:space="preserve">16</w:t>
          <w:fldChar w:fldCharType="end"/>
        </w:r>
      </w:hyperlink>
      <w:r/>
      <w:r/>
    </w:p>
    <w:p>
      <w:pPr>
        <w:pStyle w:val="1189"/>
        <w:tabs>
          <w:tab w:val="left" w:pos="850" w:leader="none"/>
          <w:tab w:val="right" w:pos="10195" w:leader="dot"/>
        </w:tabs>
      </w:pPr>
      <w:r/>
      <w:hyperlink w:tooltip="#_Toc33" w:anchor="_Toc33" w:history="1">
        <w:r>
          <w:rPr>
            <w:rFonts w:ascii="Times New Roman" w:hAnsi="Times New Roman" w:eastAsia="Times New Roman" w:cs="Times New Roman"/>
          </w:rPr>
          <w:t xml:space="preserve">5.6.</w:t>
        </w:r>
        <w:r>
          <w:tab/>
        </w:r>
        <w:r>
          <w:rPr>
            <w:rStyle w:val="1356"/>
          </w:rPr>
        </w:r>
        <w:r>
          <w:rPr>
            <w:rStyle w:val="1356"/>
          </w:rPr>
          <w:t xml:space="preserve">Переторжка</w:t>
        </w:r>
        <w:r>
          <w:rPr>
            <w:rStyle w:val="1356"/>
          </w:rPr>
        </w:r>
        <w:r>
          <w:tab/>
        </w:r>
        <w:r>
          <w:fldChar w:fldCharType="begin"/>
          <w:instrText xml:space="preserve">PAGEREF _Toc33 \h</w:instrText>
          <w:fldChar w:fldCharType="separate"/>
          <w:t xml:space="preserve">17</w:t>
          <w:fldChar w:fldCharType="end"/>
        </w:r>
      </w:hyperlink>
      <w:r/>
      <w:r/>
    </w:p>
    <w:p>
      <w:pPr>
        <w:pStyle w:val="1189"/>
        <w:tabs>
          <w:tab w:val="left" w:pos="850" w:leader="none"/>
          <w:tab w:val="right" w:pos="10195" w:leader="dot"/>
        </w:tabs>
      </w:pPr>
      <w:r/>
      <w:hyperlink w:tooltip="#_Toc34" w:anchor="_Toc34" w:history="1">
        <w:r>
          <w:rPr>
            <w:rFonts w:ascii="Times New Roman" w:hAnsi="Times New Roman" w:eastAsia="Times New Roman" w:cs="Times New Roman"/>
          </w:rPr>
          <w:t xml:space="preserve">5.7.</w:t>
        </w:r>
        <w:r>
          <w:tab/>
        </w:r>
        <w:r>
          <w:rPr>
            <w:rStyle w:val="1356"/>
          </w:rPr>
        </w:r>
        <w:r>
          <w:rPr>
            <w:rStyle w:val="1356"/>
          </w:rPr>
          <w:t xml:space="preserve">Подведение итогов</w:t>
        </w:r>
        <w:r>
          <w:rPr>
            <w:rStyle w:val="1356"/>
          </w:rPr>
        </w:r>
        <w:r>
          <w:tab/>
        </w:r>
        <w:r>
          <w:fldChar w:fldCharType="begin"/>
          <w:instrText xml:space="preserve">PAGEREF _Toc34 \h</w:instrText>
          <w:fldChar w:fldCharType="separate"/>
          <w:t xml:space="preserve">17</w:t>
          <w:fldChar w:fldCharType="end"/>
        </w:r>
      </w:hyperlink>
      <w:r/>
      <w:r/>
    </w:p>
    <w:p>
      <w:pPr>
        <w:pStyle w:val="1189"/>
        <w:tabs>
          <w:tab w:val="left" w:pos="850" w:leader="none"/>
          <w:tab w:val="right" w:pos="10195" w:leader="dot"/>
        </w:tabs>
      </w:pPr>
      <w:r/>
      <w:hyperlink w:tooltip="#_Toc35" w:anchor="_Toc35" w:history="1">
        <w:r>
          <w:rPr>
            <w:rFonts w:ascii="Times New Roman" w:hAnsi="Times New Roman" w:eastAsia="Times New Roman" w:cs="Times New Roman"/>
          </w:rPr>
          <w:t xml:space="preserve">5.8.</w:t>
        </w:r>
        <w:r>
          <w:tab/>
        </w:r>
        <w:r>
          <w:rPr>
            <w:rStyle w:val="1356"/>
          </w:rPr>
        </w:r>
        <w:r>
          <w:rPr>
            <w:rStyle w:val="1356"/>
          </w:rPr>
          <w:t xml:space="preserve">Признание закупки несостоявшейся</w:t>
        </w:r>
        <w:r>
          <w:rPr>
            <w:rStyle w:val="1356"/>
          </w:rPr>
        </w:r>
        <w:r>
          <w:tab/>
        </w:r>
        <w:r>
          <w:fldChar w:fldCharType="begin"/>
          <w:instrText xml:space="preserve">PAGEREF _Toc35 \h</w:instrText>
          <w:fldChar w:fldCharType="separate"/>
          <w:t xml:space="preserve">18</w:t>
          <w:fldChar w:fldCharType="end"/>
        </w:r>
      </w:hyperlink>
      <w:r/>
      <w:r/>
    </w:p>
    <w:p>
      <w:pPr>
        <w:pStyle w:val="1189"/>
        <w:tabs>
          <w:tab w:val="left" w:pos="850" w:leader="none"/>
          <w:tab w:val="right" w:pos="10195" w:leader="dot"/>
        </w:tabs>
      </w:pPr>
      <w:r/>
      <w:hyperlink w:tooltip="#_Toc36" w:anchor="_Toc36" w:history="1">
        <w:r>
          <w:rPr>
            <w:rFonts w:ascii="Times New Roman" w:hAnsi="Times New Roman" w:eastAsia="Times New Roman" w:cs="Times New Roman"/>
          </w:rPr>
          <w:t xml:space="preserve">5.9.</w:t>
        </w:r>
        <w:r>
          <w:tab/>
        </w:r>
        <w:r>
          <w:rPr>
            <w:rStyle w:val="1356"/>
          </w:rPr>
        </w:r>
        <w:r>
          <w:rPr>
            <w:rStyle w:val="1356"/>
          </w:rPr>
          <w:t xml:space="preserve">Рассмотрение жалоб и обращений участников закупки</w:t>
        </w:r>
        <w:r>
          <w:rPr>
            <w:rStyle w:val="1356"/>
          </w:rPr>
        </w:r>
        <w:r>
          <w:tab/>
        </w:r>
        <w:r>
          <w:fldChar w:fldCharType="begin"/>
          <w:instrText xml:space="preserve">PAGEREF _Toc36 \h</w:instrText>
          <w:fldChar w:fldCharType="separate"/>
          <w:t xml:space="preserve">18</w:t>
          <w:fldChar w:fldCharType="end"/>
        </w:r>
      </w:hyperlink>
      <w:r/>
      <w:r/>
    </w:p>
    <w:p>
      <w:pPr>
        <w:pStyle w:val="1188"/>
        <w:tabs>
          <w:tab w:val="left" w:pos="567" w:leader="none"/>
          <w:tab w:val="right" w:pos="10195" w:leader="dot"/>
        </w:tabs>
      </w:pPr>
      <w:r/>
      <w:hyperlink w:tooltip="#_Toc37" w:anchor="_Toc37" w:history="1">
        <w:r>
          <w:rPr>
            <w:rFonts w:ascii="Times New Roman" w:hAnsi="Times New Roman" w:eastAsia="Times New Roman" w:cs="Times New Roman"/>
          </w:rPr>
          <w:t xml:space="preserve">6.</w:t>
        </w:r>
        <w:r>
          <w:tab/>
        </w:r>
        <w:r>
          <w:rPr>
            <w:rStyle w:val="1356"/>
          </w:rPr>
        </w:r>
        <w:r>
          <w:rPr>
            <w:rStyle w:val="1356"/>
          </w:rPr>
          <w:t xml:space="preserve">ЗАКЛЮЧЕНИЕ, ИЗМЕНЕНИЕ И РАСТОРЖЕНИЕ ДОГОВОРА</w:t>
        </w:r>
        <w:r>
          <w:rPr>
            <w:rStyle w:val="1356"/>
          </w:rPr>
        </w:r>
        <w:r>
          <w:tab/>
        </w:r>
        <w:r>
          <w:fldChar w:fldCharType="begin"/>
          <w:instrText xml:space="preserve">PAGEREF _Toc37 \h</w:instrText>
          <w:fldChar w:fldCharType="separate"/>
          <w:t xml:space="preserve">18</w:t>
          <w:fldChar w:fldCharType="end"/>
        </w:r>
      </w:hyperlink>
      <w:r/>
      <w:r/>
    </w:p>
    <w:p>
      <w:pPr>
        <w:pStyle w:val="1189"/>
        <w:tabs>
          <w:tab w:val="left" w:pos="850" w:leader="none"/>
          <w:tab w:val="right" w:pos="10195" w:leader="dot"/>
        </w:tabs>
      </w:pPr>
      <w:r/>
      <w:hyperlink w:tooltip="#_Toc38" w:anchor="_Toc38" w:history="1">
        <w:r>
          <w:rPr>
            <w:rFonts w:ascii="Times New Roman" w:hAnsi="Times New Roman" w:eastAsia="Times New Roman" w:cs="Times New Roman"/>
          </w:rPr>
          <w:t xml:space="preserve">6.1.</w:t>
        </w:r>
        <w:r>
          <w:tab/>
        </w:r>
        <w:r>
          <w:rPr>
            <w:rStyle w:val="1356"/>
          </w:rPr>
        </w:r>
        <w:r>
          <w:rPr>
            <w:rStyle w:val="1356"/>
          </w:rPr>
          <w:t xml:space="preserve">Срок и порядок заключения договора</w:t>
        </w:r>
        <w:r>
          <w:rPr>
            <w:rStyle w:val="1356"/>
          </w:rPr>
        </w:r>
        <w:r>
          <w:tab/>
        </w:r>
        <w:r>
          <w:fldChar w:fldCharType="begin"/>
          <w:instrText xml:space="preserve">PAGEREF _Toc38 \h</w:instrText>
          <w:fldChar w:fldCharType="separate"/>
          <w:t xml:space="preserve">18</w:t>
          <w:fldChar w:fldCharType="end"/>
        </w:r>
      </w:hyperlink>
      <w:r/>
      <w:r/>
    </w:p>
    <w:p>
      <w:pPr>
        <w:pStyle w:val="1189"/>
        <w:tabs>
          <w:tab w:val="left" w:pos="850" w:leader="none"/>
          <w:tab w:val="right" w:pos="10195" w:leader="dot"/>
        </w:tabs>
      </w:pPr>
      <w:r/>
      <w:hyperlink w:tooltip="#_Toc39" w:anchor="_Toc39" w:history="1">
        <w:r>
          <w:rPr>
            <w:rFonts w:ascii="Times New Roman" w:hAnsi="Times New Roman" w:eastAsia="Times New Roman" w:cs="Times New Roman"/>
          </w:rPr>
          <w:t xml:space="preserve">6.2.</w:t>
        </w:r>
        <w:r>
          <w:tab/>
        </w:r>
        <w:r>
          <w:rPr>
            <w:rStyle w:val="1356"/>
          </w:rPr>
        </w:r>
        <w:r>
          <w:rPr>
            <w:rStyle w:val="1356"/>
          </w:rPr>
          <w:t xml:space="preserve">Обеспечения исполнения договора, порядок предоставления такого обеспечения, требования к такому обеспечению</w:t>
        </w:r>
        <w:r>
          <w:rPr>
            <w:rStyle w:val="1356"/>
          </w:rPr>
        </w:r>
        <w:r>
          <w:tab/>
        </w:r>
        <w:r>
          <w:fldChar w:fldCharType="begin"/>
          <w:instrText xml:space="preserve">PAGEREF _Toc39 \h</w:instrText>
          <w:fldChar w:fldCharType="separate"/>
          <w:t xml:space="preserve">20</w:t>
          <w:fldChar w:fldCharType="end"/>
        </w:r>
      </w:hyperlink>
      <w:r/>
      <w:r/>
    </w:p>
    <w:p>
      <w:pPr>
        <w:pStyle w:val="1189"/>
        <w:tabs>
          <w:tab w:val="left" w:pos="850" w:leader="none"/>
          <w:tab w:val="right" w:pos="10195" w:leader="dot"/>
        </w:tabs>
        <w:rPr>
          <w:smallCaps/>
        </w:rPr>
      </w:pPr>
      <w:r/>
      <w:hyperlink w:tooltip="#_Toc40" w:anchor="_Toc40" w:history="1">
        <w:r>
          <w:rPr>
            <w:rFonts w:ascii="Times New Roman" w:hAnsi="Times New Roman" w:eastAsia="Times New Roman" w:cs="Times New Roman"/>
          </w:rPr>
          <w:t xml:space="preserve">6.3.</w:t>
        </w:r>
        <w:r>
          <w:tab/>
        </w:r>
        <w:r>
          <w:rPr>
            <w:rStyle w:val="1356"/>
          </w:rPr>
        </w:r>
        <w:r>
          <w:rPr>
            <w:rStyle w:val="1356"/>
          </w:rPr>
          <w:t xml:space="preserve">Требования к условиям независимой гарантии</w:t>
        </w:r>
        <w:r>
          <w:rPr>
            <w:rStyle w:val="1356"/>
          </w:rPr>
          <w:t xml:space="preserve">, выданной в качестве обеспечения исполнения договора</w:t>
        </w:r>
        <w:r>
          <w:rPr>
            <w:rStyle w:val="1356"/>
          </w:rPr>
          <w:t xml:space="preserve">:</w:t>
        </w:r>
        <w:r>
          <w:rPr>
            <w:rStyle w:val="1356"/>
            <w:smallCaps/>
          </w:rPr>
        </w:r>
        <w:r>
          <w:tab/>
        </w:r>
        <w:r>
          <w:fldChar w:fldCharType="begin"/>
          <w:instrText xml:space="preserve">PAGEREF _Toc40 \h</w:instrText>
          <w:fldChar w:fldCharType="separate"/>
          <w:t xml:space="preserve">21</w:t>
          <w:fldChar w:fldCharType="end"/>
        </w:r>
      </w:hyperlink>
      <w:r>
        <w:rPr>
          <w:smallCaps/>
        </w:rPr>
      </w:r>
      <w:r>
        <w:rPr>
          <w:smallCaps/>
        </w:rPr>
      </w:r>
    </w:p>
    <w:p>
      <w:pPr>
        <w:pStyle w:val="1189"/>
        <w:tabs>
          <w:tab w:val="left" w:pos="850" w:leader="none"/>
          <w:tab w:val="right" w:pos="10195" w:leader="dot"/>
        </w:tabs>
      </w:pPr>
      <w:r/>
      <w:hyperlink w:tooltip="#_Toc41" w:anchor="_Toc41" w:history="1">
        <w:r>
          <w:rPr>
            <w:rFonts w:ascii="Times New Roman" w:hAnsi="Times New Roman" w:eastAsia="Times New Roman" w:cs="Times New Roman"/>
          </w:rPr>
          <w:t xml:space="preserve">6.4.</w:t>
        </w:r>
        <w:r>
          <w:tab/>
        </w:r>
        <w:r>
          <w:rPr>
            <w:rStyle w:val="1356"/>
          </w:rPr>
        </w:r>
        <w:r>
          <w:rPr>
            <w:rStyle w:val="1356"/>
          </w:rPr>
          <w:t xml:space="preserve">Отказ от заключения договора</w:t>
        </w:r>
        <w:r>
          <w:rPr>
            <w:rStyle w:val="1356"/>
          </w:rPr>
        </w:r>
        <w:r>
          <w:tab/>
        </w:r>
        <w:r>
          <w:fldChar w:fldCharType="begin"/>
          <w:instrText xml:space="preserve">PAGEREF _Toc41 \h</w:instrText>
          <w:fldChar w:fldCharType="separate"/>
          <w:t xml:space="preserve">21</w:t>
          <w:fldChar w:fldCharType="end"/>
        </w:r>
      </w:hyperlink>
      <w:r/>
      <w:r/>
    </w:p>
    <w:p>
      <w:pPr>
        <w:pStyle w:val="1189"/>
        <w:tabs>
          <w:tab w:val="left" w:pos="850" w:leader="none"/>
          <w:tab w:val="right" w:pos="10195" w:leader="dot"/>
        </w:tabs>
      </w:pPr>
      <w:r/>
      <w:hyperlink w:tooltip="#_Toc42" w:anchor="_Toc42" w:history="1">
        <w:r>
          <w:rPr>
            <w:rFonts w:ascii="Times New Roman" w:hAnsi="Times New Roman" w:eastAsia="Times New Roman" w:cs="Times New Roman"/>
          </w:rPr>
          <w:t xml:space="preserve">6.5.</w:t>
        </w:r>
        <w:r>
          <w:tab/>
        </w:r>
        <w:r>
          <w:rPr>
            <w:rStyle w:val="1356"/>
          </w:rPr>
        </w:r>
        <w:r>
          <w:rPr>
            <w:rStyle w:val="1356"/>
          </w:rPr>
          <w:t xml:space="preserve">Изменение и расторжение договора</w:t>
        </w:r>
        <w:r>
          <w:rPr>
            <w:rStyle w:val="1356"/>
          </w:rPr>
        </w:r>
        <w:r>
          <w:tab/>
        </w:r>
        <w:r>
          <w:fldChar w:fldCharType="begin"/>
          <w:instrText xml:space="preserve">PAGEREF _Toc42 \h</w:instrText>
          <w:fldChar w:fldCharType="separate"/>
          <w:t xml:space="preserve">22</w:t>
          <w:fldChar w:fldCharType="end"/>
        </w:r>
      </w:hyperlink>
      <w:r/>
      <w:r/>
    </w:p>
    <w:p>
      <w:pPr>
        <w:pStyle w:val="1189"/>
        <w:tabs>
          <w:tab w:val="left" w:pos="850" w:leader="none"/>
          <w:tab w:val="right" w:pos="10195" w:leader="dot"/>
        </w:tabs>
      </w:pPr>
      <w:r/>
      <w:hyperlink w:tooltip="#_Toc43" w:anchor="_Toc43" w:history="1">
        <w:r>
          <w:rPr>
            <w:rFonts w:ascii="Times New Roman" w:hAnsi="Times New Roman" w:eastAsia="Times New Roman" w:cs="Times New Roman"/>
          </w:rPr>
          <w:t xml:space="preserve">6.6.</w:t>
        </w:r>
        <w:r>
          <w:tab/>
        </w:r>
        <w:r>
          <w:rPr>
            <w:rStyle w:val="1356"/>
          </w:rPr>
        </w:r>
        <w:r>
          <w:rPr>
            <w:rStyle w:val="1356"/>
          </w:rPr>
          <w:t xml:space="preserve">Закупка продукции с разбиением заказа на лоты</w:t>
        </w:r>
        <w:r>
          <w:rPr>
            <w:rStyle w:val="1356"/>
          </w:rPr>
        </w:r>
        <w:r>
          <w:tab/>
        </w:r>
        <w:r>
          <w:fldChar w:fldCharType="begin"/>
          <w:instrText xml:space="preserve">PAGEREF _Toc43 \h</w:instrText>
          <w:fldChar w:fldCharType="separate"/>
          <w:t xml:space="preserve">22</w:t>
          <w:fldChar w:fldCharType="end"/>
        </w:r>
      </w:hyperlink>
      <w:r/>
      <w:r/>
    </w:p>
    <w:p>
      <w:pPr>
        <w:pStyle w:val="1188"/>
        <w:tabs>
          <w:tab w:val="left" w:pos="567" w:leader="none"/>
          <w:tab w:val="right" w:pos="10195" w:leader="dot"/>
        </w:tabs>
        <w:rPr>
          <w:rStyle w:val="1169"/>
          <w:rFonts w:ascii="Times New Roman" w:hAnsi="Times New Roman" w:cs="Times New Roman"/>
        </w:rPr>
      </w:pPr>
      <w:r/>
      <w:hyperlink w:tooltip="#_Toc44" w:anchor="_Toc44" w:history="1">
        <w:r>
          <w:rPr>
            <w:rFonts w:ascii="Times New Roman" w:hAnsi="Times New Roman" w:eastAsia="Times New Roman" w:cs="Times New Roman"/>
          </w:rPr>
          <w:t xml:space="preserve">II.</w:t>
        </w:r>
        <w:r>
          <w:tab/>
        </w:r>
        <w:r>
          <w:rPr>
            <w:rStyle w:val="1356"/>
          </w:rPr>
        </w:r>
        <w:r>
          <w:rPr>
            <w:rStyle w:val="1356"/>
            <w:rFonts w:ascii="Times New Roman" w:hAnsi="Times New Roman" w:cs="Times New Roman"/>
          </w:rPr>
          <w:t xml:space="preserve">ИНФОРМАЦИОННАЯ КАРТА </w:t>
        </w:r>
        <w:r>
          <w:rPr>
            <w:rStyle w:val="1356"/>
            <w:rFonts w:ascii="Times New Roman" w:hAnsi="Times New Roman" w:cs="Times New Roman"/>
          </w:rPr>
          <w:t xml:space="preserve">ЗАКУПКИ</w:t>
        </w:r>
        <w:r>
          <w:rPr>
            <w:rStyle w:val="1356"/>
            <w:rFonts w:ascii="Times New Roman" w:hAnsi="Times New Roman" w:cs="Times New Roman"/>
          </w:rPr>
        </w:r>
        <w:r>
          <w:tab/>
        </w:r>
        <w:r>
          <w:fldChar w:fldCharType="begin"/>
          <w:instrText xml:space="preserve">PAGEREF _Toc44 \h</w:instrText>
          <w:fldChar w:fldCharType="separate"/>
          <w:t xml:space="preserve">24</w:t>
          <w:fldChar w:fldCharType="end"/>
        </w:r>
      </w:hyperlink>
      <w:r>
        <w:rPr>
          <w:rStyle w:val="1169"/>
          <w:rFonts w:ascii="Times New Roman" w:hAnsi="Times New Roman" w:cs="Times New Roman"/>
        </w:rPr>
      </w:r>
      <w:r>
        <w:rPr>
          <w:rStyle w:val="1169"/>
          <w:rFonts w:ascii="Times New Roman" w:hAnsi="Times New Roman" w:cs="Times New Roman"/>
        </w:rPr>
      </w:r>
    </w:p>
    <w:p>
      <w:pPr>
        <w:pStyle w:val="1188"/>
        <w:tabs>
          <w:tab w:val="left" w:pos="567" w:leader="none"/>
          <w:tab w:val="right" w:pos="10195" w:leader="dot"/>
        </w:tabs>
        <w:rPr>
          <w:rStyle w:val="1169"/>
          <w:rFonts w:ascii="Times New Roman" w:hAnsi="Times New Roman" w:cs="Times New Roman"/>
        </w:rPr>
      </w:pPr>
      <w:r/>
      <w:hyperlink w:tooltip="#_Toc45" w:anchor="_Toc45" w:history="1">
        <w:r>
          <w:rPr>
            <w:rFonts w:ascii="Times New Roman" w:hAnsi="Times New Roman" w:eastAsia="Times New Roman" w:cs="Times New Roman"/>
          </w:rPr>
          <w:t xml:space="preserve">III.</w:t>
        </w:r>
        <w:r>
          <w:tab/>
        </w:r>
        <w:r>
          <w:rPr>
            <w:rStyle w:val="1356"/>
          </w:rPr>
        </w:r>
        <w:r>
          <w:rPr>
            <w:rStyle w:val="1356"/>
            <w:rFonts w:ascii="Times New Roman" w:hAnsi="Times New Roman" w:cs="Times New Roman"/>
          </w:rPr>
          <w:t xml:space="preserve">ОБРАЗЦЫ ФОРМ ДЛЯ ЗАПОЛНЕНИЯ УЧАСТНИКАМИ ЗАКУПКИ</w:t>
        </w:r>
        <w:r>
          <w:rPr>
            <w:rStyle w:val="1356"/>
            <w:rFonts w:ascii="Times New Roman" w:hAnsi="Times New Roman" w:cs="Times New Roman"/>
          </w:rPr>
        </w:r>
        <w:r>
          <w:tab/>
        </w:r>
        <w:r>
          <w:fldChar w:fldCharType="begin"/>
          <w:instrText xml:space="preserve">PAGEREF _Toc45 \h</w:instrText>
          <w:fldChar w:fldCharType="separate"/>
          <w:t xml:space="preserve">39</w:t>
          <w:fldChar w:fldCharType="end"/>
        </w:r>
      </w:hyperlink>
      <w:r>
        <w:rPr>
          <w:rStyle w:val="1169"/>
          <w:rFonts w:ascii="Times New Roman" w:hAnsi="Times New Roman" w:cs="Times New Roman"/>
        </w:rPr>
      </w:r>
      <w:r>
        <w:rPr>
          <w:rStyle w:val="1169"/>
          <w:rFonts w:ascii="Times New Roman" w:hAnsi="Times New Roman" w:cs="Times New Roman"/>
        </w:rPr>
      </w:r>
    </w:p>
    <w:p>
      <w:pPr>
        <w:pStyle w:val="1189"/>
        <w:tabs>
          <w:tab w:val="right" w:pos="10195" w:leader="dot"/>
        </w:tabs>
      </w:pPr>
      <w:r/>
      <w:hyperlink w:tooltip="#_Toc46" w:anchor="_Toc46" w:history="1">
        <w:r>
          <w:rPr>
            <w:rStyle w:val="1356"/>
          </w:rPr>
        </w:r>
        <w:r>
          <w:rPr>
            <w:rStyle w:val="1356"/>
          </w:rPr>
          <w:t xml:space="preserve">ФОРМА</w:t>
        </w:r>
        <w:r>
          <w:rPr>
            <w:rStyle w:val="1356"/>
          </w:rPr>
          <w:t xml:space="preserve"> ТЕХНИЧЕСКОЕ ПРЕДЛОЖЕНИЕ</w:t>
        </w:r>
        <w:r>
          <w:rPr>
            <w:rStyle w:val="1356"/>
          </w:rPr>
        </w:r>
        <w:r>
          <w:tab/>
        </w:r>
        <w:r>
          <w:fldChar w:fldCharType="begin"/>
          <w:instrText xml:space="preserve">PAGEREF _Toc46 \h</w:instrText>
          <w:fldChar w:fldCharType="separate"/>
          <w:t xml:space="preserve">39</w:t>
          <w:fldChar w:fldCharType="end"/>
        </w:r>
      </w:hyperlink>
      <w:r/>
      <w:r/>
    </w:p>
    <w:p>
      <w:pPr>
        <w:pStyle w:val="1189"/>
        <w:tabs>
          <w:tab w:val="right" w:pos="10195" w:leader="dot"/>
        </w:tabs>
      </w:pPr>
      <w:r/>
      <w:hyperlink w:tooltip="#_Toc47" w:anchor="_Toc47" w:history="1">
        <w:r>
          <w:rPr>
            <w:rStyle w:val="1356"/>
          </w:rPr>
        </w:r>
        <w:r>
          <w:rPr>
            <w:rStyle w:val="1356"/>
          </w:rPr>
          <w:t xml:space="preserve">ФОРМА П</w:t>
        </w:r>
        <w:r>
          <w:rPr>
            <w:rStyle w:val="1356"/>
          </w:rPr>
          <w:t xml:space="preserve">исьмо о подаче оферты</w:t>
        </w:r>
        <w:r>
          <w:rPr>
            <w:rStyle w:val="1356"/>
          </w:rPr>
        </w:r>
        <w:r>
          <w:tab/>
        </w:r>
        <w:r>
          <w:fldChar w:fldCharType="begin"/>
          <w:instrText xml:space="preserve">PAGEREF _Toc47 \h</w:instrText>
          <w:fldChar w:fldCharType="separate"/>
          <w:t xml:space="preserve">40</w:t>
          <w:fldChar w:fldCharType="end"/>
        </w:r>
      </w:hyperlink>
      <w:r/>
      <w:r/>
    </w:p>
    <w:p>
      <w:pPr>
        <w:pStyle w:val="1189"/>
        <w:tabs>
          <w:tab w:val="right" w:pos="10195" w:leader="dot"/>
        </w:tabs>
      </w:pPr>
      <w:r/>
      <w:hyperlink w:tooltip="#_Toc48" w:anchor="_Toc48" w:history="1">
        <w:r>
          <w:rPr>
            <w:rStyle w:val="1356"/>
          </w:rPr>
        </w:r>
        <w:r>
          <w:rPr>
            <w:rStyle w:val="1356"/>
          </w:rPr>
          <w:t xml:space="preserve">ФОРМА  </w:t>
        </w:r>
        <w:r>
          <w:rPr>
            <w:rStyle w:val="1356"/>
          </w:rPr>
          <w:t xml:space="preserve">План распределения объемов между членами коллективного участника</w:t>
        </w:r>
        <w:r>
          <w:rPr>
            <w:rStyle w:val="1356"/>
          </w:rPr>
        </w:r>
        <w:r>
          <w:tab/>
        </w:r>
        <w:r>
          <w:fldChar w:fldCharType="begin"/>
          <w:instrText xml:space="preserve">PAGEREF _Toc48 \h</w:instrText>
          <w:fldChar w:fldCharType="separate"/>
          <w:t xml:space="preserve">43</w:t>
          <w:fldChar w:fldCharType="end"/>
        </w:r>
      </w:hyperlink>
      <w:r/>
      <w:r/>
    </w:p>
    <w:p>
      <w:pPr>
        <w:pStyle w:val="1189"/>
        <w:tabs>
          <w:tab w:val="right" w:pos="10195" w:leader="dot"/>
        </w:tabs>
      </w:pPr>
      <w:r/>
      <w:hyperlink w:tooltip="#_Toc49" w:anchor="_Toc49" w:history="1">
        <w:r>
          <w:rPr>
            <w:rStyle w:val="1356"/>
          </w:rPr>
        </w:r>
        <w:r>
          <w:rPr>
            <w:rStyle w:val="1356"/>
          </w:rPr>
          <w:t xml:space="preserve">ФОРМА  А</w:t>
        </w:r>
        <w:r>
          <w:rPr>
            <w:rStyle w:val="1356"/>
          </w:rPr>
          <w:t xml:space="preserve">нкета участника закупки</w:t>
        </w:r>
        <w:r>
          <w:rPr>
            <w:rStyle w:val="1356"/>
          </w:rPr>
        </w:r>
        <w:r>
          <w:tab/>
        </w:r>
        <w:r>
          <w:fldChar w:fldCharType="begin"/>
          <w:instrText xml:space="preserve">PAGEREF _Toc49 \h</w:instrText>
          <w:fldChar w:fldCharType="separate"/>
          <w:t xml:space="preserve">45</w:t>
          <w:fldChar w:fldCharType="end"/>
        </w:r>
      </w:hyperlink>
      <w:r/>
      <w:r/>
    </w:p>
    <w:p>
      <w:pPr>
        <w:pStyle w:val="1189"/>
        <w:tabs>
          <w:tab w:val="right" w:pos="10195" w:leader="dot"/>
        </w:tabs>
      </w:pPr>
      <w:r/>
      <w:hyperlink w:tooltip="#_Toc50" w:anchor="_Toc50" w:history="1">
        <w:r>
          <w:rPr>
            <w:rStyle w:val="1356"/>
          </w:rPr>
        </w:r>
        <w:r>
          <w:rPr>
            <w:rStyle w:val="1356"/>
          </w:rPr>
          <w:t xml:space="preserve">ФОРМА </w:t>
        </w:r>
        <w:r>
          <w:rPr>
            <w:rStyle w:val="1356"/>
          </w:rPr>
          <w:t xml:space="preserve">Декларация о соответствии Участника закупки критериям отнесения к субъектам малого/среднего предпринимательства</w:t>
        </w:r>
        <w:r>
          <w:rPr>
            <w:rStyle w:val="1356"/>
          </w:rPr>
          <w:t xml:space="preserve"> </w:t>
        </w:r>
        <w:r>
          <w:rPr>
            <w:rStyle w:val="1356"/>
          </w:rPr>
        </w:r>
        <w:r>
          <w:tab/>
        </w:r>
        <w:r>
          <w:fldChar w:fldCharType="begin"/>
          <w:instrText xml:space="preserve">PAGEREF _Toc50 \h</w:instrText>
          <w:fldChar w:fldCharType="separate"/>
          <w:t xml:space="preserve">50</w:t>
          <w:fldChar w:fldCharType="end"/>
        </w:r>
      </w:hyperlink>
      <w:r/>
      <w:r/>
    </w:p>
    <w:p>
      <w:pPr>
        <w:pStyle w:val="1189"/>
        <w:tabs>
          <w:tab w:val="right" w:pos="10195" w:leader="dot"/>
        </w:tabs>
      </w:pPr>
      <w:r/>
      <w:hyperlink w:tooltip="#_Toc51" w:anchor="_Toc51" w:history="1">
        <w:r>
          <w:rPr>
            <w:rStyle w:val="1356"/>
          </w:rPr>
        </w:r>
        <w:r>
          <w:rPr>
            <w:rStyle w:val="1356"/>
          </w:rPr>
          <w:t xml:space="preserve">ФОРМА  </w:t>
        </w:r>
        <w:r>
          <w:rPr>
            <w:rStyle w:val="1356"/>
          </w:rPr>
          <w:t xml:space="preserve">Справка о наличии конфликта интересов и/или связей, носящих характер аффилированности с сотрудниками Заказчика или Организатора закупки</w:t>
        </w:r>
        <w:r>
          <w:rPr>
            <w:rStyle w:val="1356"/>
          </w:rPr>
        </w:r>
        <w:r>
          <w:tab/>
        </w:r>
        <w:r>
          <w:fldChar w:fldCharType="begin"/>
          <w:instrText xml:space="preserve">PAGEREF _Toc51 \h</w:instrText>
          <w:fldChar w:fldCharType="separate"/>
          <w:t xml:space="preserve">54</w:t>
          <w:fldChar w:fldCharType="end"/>
        </w:r>
      </w:hyperlink>
      <w:r/>
      <w:r/>
    </w:p>
    <w:p>
      <w:pPr>
        <w:pStyle w:val="1189"/>
        <w:tabs>
          <w:tab w:val="right" w:pos="10195" w:leader="dot"/>
        </w:tabs>
      </w:pPr>
      <w:r/>
      <w:hyperlink w:tooltip="#_Toc52" w:anchor="_Toc52" w:history="1">
        <w:r>
          <w:rPr>
            <w:rStyle w:val="1356"/>
          </w:rPr>
        </w:r>
        <w:r>
          <w:rPr>
            <w:rStyle w:val="1356"/>
          </w:rPr>
          <w:t xml:space="preserve">ФОРМА  </w:t>
        </w:r>
        <w:r>
          <w:rPr>
            <w:rStyle w:val="1356"/>
            <w:lang w:eastAsia="en-US"/>
          </w:rPr>
          <w:t xml:space="preserve">Справка (информация) о собственниках Участника закупки (включая конечных бенефициаров)</w:t>
        </w:r>
        <w:r>
          <w:rPr>
            <w:rStyle w:val="1356"/>
          </w:rPr>
        </w:r>
        <w:r>
          <w:tab/>
        </w:r>
        <w:r>
          <w:fldChar w:fldCharType="begin"/>
          <w:instrText xml:space="preserve">PAGEREF _Toc52 \h</w:instrText>
          <w:fldChar w:fldCharType="separate"/>
          <w:t xml:space="preserve">55</w:t>
          <w:fldChar w:fldCharType="end"/>
        </w:r>
      </w:hyperlink>
      <w:r/>
      <w:r/>
    </w:p>
    <w:p>
      <w:pPr>
        <w:pStyle w:val="1189"/>
        <w:tabs>
          <w:tab w:val="right" w:pos="10195" w:leader="dot"/>
        </w:tabs>
      </w:pPr>
      <w:r/>
      <w:hyperlink w:tooltip="#_Toc53" w:anchor="_Toc53" w:history="1">
        <w:r>
          <w:rPr>
            <w:rStyle w:val="1356"/>
          </w:rPr>
        </w:r>
        <w:r>
          <w:rPr>
            <w:rStyle w:val="1356"/>
          </w:rPr>
          <w:t xml:space="preserve">ФОРМА  </w:t>
        </w:r>
        <w:r>
          <w:rPr>
            <w:rStyle w:val="1356"/>
          </w:rPr>
          <w:t xml:space="preserve">Согласие</w:t>
        </w:r>
        <w:r>
          <w:rPr>
            <w:rStyle w:val="1356"/>
          </w:rPr>
          <w:t xml:space="preserve"> </w:t>
        </w:r>
        <w:r>
          <w:rPr>
            <w:rStyle w:val="1356"/>
          </w:rPr>
          <w:t xml:space="preserve">на обработку персональных данных</w:t>
        </w:r>
        <w:r>
          <w:rPr>
            <w:rStyle w:val="1356"/>
          </w:rPr>
        </w:r>
        <w:r>
          <w:tab/>
        </w:r>
        <w:r>
          <w:fldChar w:fldCharType="begin"/>
          <w:instrText xml:space="preserve">PAGEREF _Toc53 \h</w:instrText>
          <w:fldChar w:fldCharType="separate"/>
          <w:t xml:space="preserve">57</w:t>
          <w:fldChar w:fldCharType="end"/>
        </w:r>
      </w:hyperlink>
      <w:r/>
      <w:r/>
    </w:p>
    <w:p>
      <w:pPr>
        <w:pStyle w:val="1189"/>
        <w:tabs>
          <w:tab w:val="right" w:pos="10195" w:leader="dot"/>
        </w:tabs>
      </w:pPr>
      <w:r/>
      <w:hyperlink w:tooltip="#_Toc54" w:anchor="_Toc54" w:history="1">
        <w:r>
          <w:rPr>
            <w:rStyle w:val="1356"/>
          </w:rPr>
        </w:r>
        <w:r>
          <w:rPr>
            <w:rStyle w:val="1356"/>
          </w:rPr>
          <w:t xml:space="preserve">ФОРМА  </w:t>
        </w:r>
        <w:r>
          <w:rPr>
            <w:rStyle w:val="1356"/>
          </w:rPr>
          <w:t xml:space="preserve">Антикоррупционные обязательства</w:t>
        </w:r>
        <w:r>
          <w:rPr>
            <w:rStyle w:val="1356"/>
          </w:rPr>
        </w:r>
        <w:r>
          <w:tab/>
        </w:r>
        <w:r>
          <w:fldChar w:fldCharType="begin"/>
          <w:instrText xml:space="preserve">PAGEREF _Toc54 \h</w:instrText>
          <w:fldChar w:fldCharType="separate"/>
          <w:t xml:space="preserve">59</w:t>
          <w:fldChar w:fldCharType="end"/>
        </w:r>
      </w:hyperlink>
      <w:r/>
      <w:r/>
    </w:p>
    <w:p>
      <w:pPr>
        <w:pStyle w:val="1189"/>
        <w:tabs>
          <w:tab w:val="right" w:pos="10195" w:leader="dot"/>
        </w:tabs>
        <w:rPr>
          <w:rFonts w:eastAsiaTheme="majorEastAsia"/>
        </w:rPr>
      </w:pPr>
      <w:r/>
      <w:hyperlink w:tooltip="#_Toc55" w:anchor="_Toc55" w:history="1">
        <w:r>
          <w:rPr>
            <w:rStyle w:val="1356"/>
          </w:rPr>
        </w:r>
        <w:r>
          <w:rPr>
            <w:rStyle w:val="1356"/>
            <w:rFonts w:eastAsiaTheme="majorEastAsia"/>
            <w:lang w:eastAsia="en-US"/>
          </w:rPr>
          <w:t xml:space="preserve">ФОРМА Справка о перечне и объемах исполнения аналогичных договоров</w:t>
        </w:r>
        <w:r>
          <w:rPr>
            <w:rStyle w:val="1356"/>
            <w:rFonts w:eastAsiaTheme="majorEastAsia"/>
            <w:lang w:eastAsia="en-US"/>
          </w:rPr>
        </w:r>
        <w:r>
          <w:tab/>
        </w:r>
        <w:r>
          <w:fldChar w:fldCharType="begin"/>
          <w:instrText xml:space="preserve">PAGEREF _Toc55 \h</w:instrText>
          <w:fldChar w:fldCharType="separate"/>
          <w:t xml:space="preserve">61</w:t>
          <w:fldChar w:fldCharType="end"/>
        </w:r>
      </w:hyperlink>
      <w:r>
        <w:rPr>
          <w:rFonts w:eastAsiaTheme="majorEastAsia"/>
          <w:lang w:eastAsia="en-US"/>
        </w:rPr>
      </w:r>
      <w:r>
        <w:rPr>
          <w:rFonts w:eastAsiaTheme="majorEastAsia"/>
        </w:rPr>
      </w:r>
    </w:p>
    <w:p>
      <w:pPr>
        <w:pStyle w:val="1189"/>
        <w:tabs>
          <w:tab w:val="right" w:pos="10195" w:leader="dot"/>
        </w:tabs>
        <w:rPr>
          <w:rFonts w:eastAsiaTheme="majorEastAsia"/>
        </w:rPr>
      </w:pPr>
      <w:r/>
      <w:hyperlink w:tooltip="#_Toc56" w:anchor="_Toc56" w:history="1">
        <w:r>
          <w:rPr>
            <w:rStyle w:val="1356"/>
          </w:rPr>
        </w:r>
        <w:r>
          <w:rPr>
            <w:rStyle w:val="1356"/>
            <w:rFonts w:eastAsiaTheme="majorEastAsia"/>
            <w:lang w:eastAsia="en-US"/>
          </w:rPr>
          <w:t xml:space="preserve">ФОРМА КОММЕРЧЕСКОЕ ПРЕДЛОЖЕНИЕ</w:t>
        </w:r>
        <w:r>
          <w:rPr>
            <w:rStyle w:val="1356"/>
            <w:rFonts w:eastAsiaTheme="majorEastAsia"/>
            <w:lang w:eastAsia="en-US"/>
          </w:rPr>
        </w:r>
        <w:r>
          <w:tab/>
        </w:r>
        <w:r>
          <w:fldChar w:fldCharType="begin"/>
          <w:instrText xml:space="preserve">PAGEREF _Toc56 \h</w:instrText>
          <w:fldChar w:fldCharType="separate"/>
          <w:t xml:space="preserve">62</w:t>
          <w:fldChar w:fldCharType="end"/>
        </w:r>
      </w:hyperlink>
      <w:r>
        <w:rPr>
          <w:rFonts w:eastAsiaTheme="majorEastAsia"/>
          <w:lang w:eastAsia="en-US"/>
        </w:rPr>
      </w:r>
      <w:r>
        <w:rPr>
          <w:rFonts w:eastAsiaTheme="majorEastAsia"/>
        </w:rPr>
      </w:r>
    </w:p>
    <w:p>
      <w:pPr>
        <w:pStyle w:val="1188"/>
        <w:tabs>
          <w:tab w:val="left" w:pos="567" w:leader="none"/>
          <w:tab w:val="right" w:pos="10195" w:leader="dot"/>
        </w:tabs>
        <w:rPr>
          <w:rStyle w:val="1169"/>
          <w:rFonts w:ascii="Times New Roman" w:hAnsi="Times New Roman" w:cs="Times New Roman"/>
          <w:caps/>
        </w:rPr>
      </w:pPr>
      <w:r/>
      <w:hyperlink w:tooltip="#_Toc57" w:anchor="_Toc57" w:history="1">
        <w:r>
          <w:rPr>
            <w:rFonts w:ascii="Times New Roman" w:hAnsi="Times New Roman" w:eastAsia="Times New Roman" w:cs="Times New Roman"/>
          </w:rPr>
          <w:t xml:space="preserve">IV.</w:t>
        </w:r>
        <w:r>
          <w:tab/>
        </w:r>
        <w:r>
          <w:rPr>
            <w:rStyle w:val="1356"/>
          </w:rPr>
        </w:r>
        <w:r>
          <w:rPr>
            <w:rStyle w:val="1356"/>
            <w:rFonts w:ascii="Times New Roman" w:hAnsi="Times New Roman" w:cs="Times New Roman"/>
            <w:caps/>
          </w:rPr>
          <w:t xml:space="preserve">ПРОЕКТ ДОГОВОРА</w:t>
        </w:r>
        <w:r>
          <w:rPr>
            <w:rStyle w:val="1356"/>
            <w:rFonts w:ascii="Times New Roman" w:hAnsi="Times New Roman" w:cs="Times New Roman"/>
            <w:caps/>
          </w:rPr>
        </w:r>
        <w:r>
          <w:tab/>
        </w:r>
        <w:r>
          <w:fldChar w:fldCharType="begin"/>
          <w:instrText xml:space="preserve">PAGEREF _Toc57 \h</w:instrText>
          <w:fldChar w:fldCharType="separate"/>
          <w:t xml:space="preserve">63</w:t>
          <w:fldChar w:fldCharType="end"/>
        </w:r>
      </w:hyperlink>
      <w:r>
        <w:rPr>
          <w:rStyle w:val="1169"/>
          <w:rFonts w:ascii="Times New Roman" w:hAnsi="Times New Roman" w:cs="Times New Roman"/>
          <w:caps/>
        </w:rPr>
      </w:r>
      <w:r>
        <w:rPr>
          <w:rStyle w:val="1169"/>
          <w:rFonts w:ascii="Times New Roman" w:hAnsi="Times New Roman" w:cs="Times New Roman"/>
          <w:caps/>
        </w:rPr>
      </w:r>
    </w:p>
    <w:p>
      <w:pPr>
        <w:pStyle w:val="1188"/>
        <w:tabs>
          <w:tab w:val="left" w:pos="567" w:leader="none"/>
          <w:tab w:val="right" w:pos="10195" w:leader="dot"/>
        </w:tabs>
        <w:rPr>
          <w:rStyle w:val="1169"/>
          <w:rFonts w:ascii="Times New Roman" w:hAnsi="Times New Roman" w:cs="Times New Roman"/>
        </w:rPr>
      </w:pPr>
      <w:r/>
      <w:hyperlink w:tooltip="#_Toc58" w:anchor="_Toc58" w:history="1">
        <w:r>
          <w:rPr>
            <w:rFonts w:ascii="Times New Roman" w:hAnsi="Times New Roman" w:eastAsia="Times New Roman" w:cs="Times New Roman"/>
          </w:rPr>
          <w:t xml:space="preserve">V.</w:t>
        </w:r>
        <w:r>
          <w:tab/>
        </w:r>
        <w:r>
          <w:rPr>
            <w:rStyle w:val="1356"/>
          </w:rPr>
        </w:r>
        <w:r>
          <w:rPr>
            <w:rStyle w:val="1356"/>
            <w:rFonts w:ascii="Times New Roman" w:hAnsi="Times New Roman" w:cs="Times New Roman"/>
          </w:rPr>
          <w:t xml:space="preserve">ТЕХНИЧЕСКАЯ ЧАСТЬ</w:t>
        </w:r>
        <w:r>
          <w:rPr>
            <w:rStyle w:val="1356"/>
            <w:rFonts w:ascii="Times New Roman" w:hAnsi="Times New Roman" w:cs="Times New Roman"/>
          </w:rPr>
        </w:r>
        <w:r>
          <w:tab/>
        </w:r>
        <w:r>
          <w:fldChar w:fldCharType="begin"/>
          <w:instrText xml:space="preserve">PAGEREF _Toc58 \h</w:instrText>
          <w:fldChar w:fldCharType="separate"/>
          <w:t xml:space="preserve">64</w:t>
          <w:fldChar w:fldCharType="end"/>
        </w:r>
      </w:hyperlink>
      <w:r>
        <w:rPr>
          <w:rStyle w:val="1169"/>
          <w:rFonts w:ascii="Times New Roman" w:hAnsi="Times New Roman" w:cs="Times New Roman"/>
        </w:rPr>
      </w:r>
      <w:r>
        <w:rPr>
          <w:rStyle w:val="1169"/>
          <w:rFonts w:ascii="Times New Roman" w:hAnsi="Times New Roman" w:cs="Times New Roman"/>
        </w:rPr>
      </w:r>
    </w:p>
    <w:p>
      <w:pPr>
        <w:pStyle w:val="1188"/>
        <w:tabs>
          <w:tab w:val="left" w:pos="567" w:leader="none"/>
          <w:tab w:val="right" w:pos="10195" w:leader="dot"/>
        </w:tabs>
        <w:rPr>
          <w:rFonts w:eastAsiaTheme="majorEastAsia"/>
        </w:rPr>
      </w:pPr>
      <w:r/>
      <w:hyperlink w:tooltip="#_Toc59" w:anchor="_Toc59" w:history="1">
        <w:r>
          <w:rPr>
            <w:rFonts w:ascii="Times New Roman" w:hAnsi="Times New Roman" w:cs="Times New Roman" w:eastAsiaTheme="majorEastAsia"/>
          </w:rPr>
          <w:t xml:space="preserve">VI.</w:t>
        </w:r>
        <w:r>
          <w:tab/>
        </w:r>
        <w:r>
          <w:rPr>
            <w:rStyle w:val="1356"/>
          </w:rPr>
        </w:r>
        <w:r>
          <w:rPr>
            <w:rStyle w:val="1356"/>
          </w:rPr>
          <w:t xml:space="preserve">ОБОСНОВАНИЕ НАЧАЛЬНОЙ (МАКСИМАЛЬНОЙ) ЦЕНЫ ДОГОВОРА</w:t>
        </w:r>
        <w:r>
          <w:rPr>
            <w:rStyle w:val="1356"/>
            <w:rFonts w:eastAsiaTheme="majorEastAsia"/>
          </w:rPr>
        </w:r>
        <w:r>
          <w:tab/>
        </w:r>
        <w:r>
          <w:fldChar w:fldCharType="begin"/>
          <w:instrText xml:space="preserve">PAGEREF _Toc59 \h</w:instrText>
          <w:fldChar w:fldCharType="separate"/>
          <w:t xml:space="preserve">65</w:t>
          <w:fldChar w:fldCharType="end"/>
        </w:r>
      </w:hyperlink>
      <w:r>
        <w:rPr>
          <w:rFonts w:eastAsiaTheme="majorEastAsia"/>
        </w:rPr>
      </w:r>
      <w:r>
        <w:rPr>
          <w:rFonts w:eastAsiaTheme="majorEastAsia"/>
        </w:rPr>
      </w:r>
    </w:p>
    <w:p>
      <w:pPr>
        <w:pStyle w:val="1188"/>
        <w:tabs>
          <w:tab w:val="left" w:pos="850" w:leader="none"/>
          <w:tab w:val="right" w:pos="10195" w:leader="dot"/>
        </w:tabs>
        <w:rPr>
          <w:rFonts w:eastAsiaTheme="majorEastAsia"/>
        </w:rPr>
      </w:pPr>
      <w:r/>
      <w:hyperlink w:tooltip="#_Toc60" w:anchor="_Toc60" w:history="1">
        <w:r>
          <w:rPr>
            <w:rFonts w:ascii="Times New Roman" w:hAnsi="Times New Roman" w:cs="Times New Roman" w:eastAsiaTheme="majorEastAsia"/>
          </w:rPr>
          <w:t xml:space="preserve">VII.</w:t>
        </w:r>
        <w:r>
          <w:tab/>
        </w:r>
        <w:r>
          <w:rPr>
            <w:rStyle w:val="1356"/>
          </w:rPr>
        </w:r>
        <w:r>
          <w:rPr>
            <w:rStyle w:val="1356"/>
            <w:rFonts w:eastAsiaTheme="majorEastAsia"/>
            <w:b/>
            <w:bCs/>
          </w:rPr>
          <w:t xml:space="preserve">Типовая форма независимой гарантии обеспечения заявки участника закупочной процедуры</w:t>
        </w:r>
        <w:r>
          <w:rPr>
            <w:rStyle w:val="1356"/>
            <w:rFonts w:eastAsiaTheme="majorEastAsia"/>
          </w:rPr>
        </w:r>
        <w:r>
          <w:tab/>
        </w:r>
        <w:r>
          <w:fldChar w:fldCharType="begin"/>
          <w:instrText xml:space="preserve">PAGEREF _Toc60 \h</w:instrText>
          <w:fldChar w:fldCharType="separate"/>
          <w:t xml:space="preserve">66</w:t>
          <w:fldChar w:fldCharType="end"/>
        </w:r>
      </w:hyperlink>
      <w:r>
        <w:rPr>
          <w:rFonts w:eastAsiaTheme="majorEastAsia"/>
        </w:rPr>
      </w:r>
      <w:r>
        <w:rPr>
          <w:rFonts w:eastAsiaTheme="majorEastAsia"/>
        </w:rPr>
      </w:r>
    </w:p>
    <w:p>
      <w:pPr>
        <w:pStyle w:val="1188"/>
        <w:tabs>
          <w:tab w:val="left" w:pos="850" w:leader="none"/>
          <w:tab w:val="right" w:pos="10195" w:leader="dot"/>
        </w:tabs>
        <w:rPr>
          <w:rFonts w:eastAsiaTheme="majorEastAsia"/>
        </w:rPr>
      </w:pPr>
      <w:r/>
      <w:hyperlink w:tooltip="#_Toc61" w:anchor="_Toc61" w:history="1">
        <w:r>
          <w:rPr>
            <w:rFonts w:ascii="Times New Roman" w:hAnsi="Times New Roman" w:cs="Times New Roman" w:eastAsiaTheme="majorEastAsia"/>
          </w:rPr>
          <w:t xml:space="preserve">VIII.</w:t>
        </w:r>
        <w:r>
          <w:tab/>
        </w:r>
        <w:r>
          <w:rPr>
            <w:rStyle w:val="1356"/>
          </w:rPr>
        </w:r>
        <w:r>
          <w:rPr>
            <w:rStyle w:val="1356"/>
            <w:rFonts w:eastAsiaTheme="majorEastAsia"/>
          </w:rPr>
          <w:t xml:space="preserve">«Требования к гарантам»</w:t>
        </w:r>
        <w:r>
          <w:rPr>
            <w:rStyle w:val="1356"/>
            <w:rFonts w:eastAsiaTheme="majorEastAsia"/>
          </w:rPr>
        </w:r>
        <w:r>
          <w:tab/>
        </w:r>
        <w:r>
          <w:fldChar w:fldCharType="begin"/>
          <w:instrText xml:space="preserve">PAGEREF _Toc61 \h</w:instrText>
          <w:fldChar w:fldCharType="separate"/>
          <w:t xml:space="preserve">68</w:t>
          <w:fldChar w:fldCharType="end"/>
        </w:r>
      </w:hyperlink>
      <w:r>
        <w:rPr>
          <w:rFonts w:eastAsiaTheme="majorEastAsia"/>
        </w:rPr>
      </w:r>
      <w:r>
        <w:rPr>
          <w:rFonts w:eastAsiaTheme="majorEastAsia"/>
        </w:rPr>
      </w:r>
    </w:p>
    <w:p>
      <w:pPr>
        <w:pStyle w:val="1148"/>
        <w:ind w:left="567" w:firstLine="0"/>
        <w:jc w:val="both"/>
        <w:pageBreakBefore/>
        <w:spacing w:before="0" w:after="0"/>
        <w:tabs>
          <w:tab w:val="clear" w:pos="432" w:leader="none"/>
        </w:tabs>
      </w:pPr>
      <w:r>
        <w:rPr>
          <w:b w:val="0"/>
          <w:bCs w:val="0"/>
          <w:i/>
          <w:iCs/>
          <w:caps w:val="0"/>
          <w:smallCaps/>
          <w:sz w:val="24"/>
          <w:szCs w:val="24"/>
        </w:rPr>
      </w:r>
      <w:r>
        <w:rPr>
          <w:b w:val="0"/>
          <w:bCs w:val="0"/>
          <w:i/>
          <w:iCs/>
          <w:caps/>
          <w:smallCaps/>
          <w:sz w:val="24"/>
          <w:szCs w:val="24"/>
        </w:rPr>
        <w:fldChar w:fldCharType="end"/>
      </w:r>
      <w:r/>
    </w:p>
    <w:p>
      <w:pPr>
        <w:pStyle w:val="1148"/>
        <w:numPr>
          <w:ilvl w:val="0"/>
          <w:numId w:val="4"/>
        </w:numPr>
        <w:ind w:left="0" w:firstLine="567"/>
        <w:keepNext w:val="0"/>
        <w:spacing w:before="0" w:after="0"/>
        <w:rPr>
          <w:rStyle w:val="1169"/>
          <w:b w:val="0"/>
          <w:bCs w:val="0"/>
          <w:caps/>
          <w:sz w:val="24"/>
          <w:szCs w:val="24"/>
        </w:rPr>
      </w:pPr>
      <w:r/>
      <w:bookmarkStart w:id="316" w:name="_Toc1"/>
      <w:r/>
      <w:bookmarkStart w:id="0" w:name="_ОБЩИЕ_УСЛОВИЯ_ПРОВЕДЕНИЯ"/>
      <w:r/>
      <w:bookmarkStart w:id="1" w:name="_Ref166642713"/>
      <w:r/>
      <w:bookmarkEnd w:id="0"/>
      <w:r>
        <w:rPr>
          <w:rStyle w:val="1169"/>
          <w:rFonts w:ascii="Times New Roman" w:hAnsi="Times New Roman" w:cs="Times New Roman"/>
          <w:caps/>
          <w:color w:val="auto"/>
          <w:sz w:val="24"/>
          <w:szCs w:val="24"/>
        </w:rPr>
        <w:t xml:space="preserve">ОБЩИЕ УСЛОВИЯ ПРОВЕДЕНИЯ </w:t>
      </w:r>
      <w:bookmarkEnd w:id="1"/>
      <w:r>
        <w:rPr>
          <w:rStyle w:val="1169"/>
          <w:rFonts w:ascii="Times New Roman" w:hAnsi="Times New Roman" w:cs="Times New Roman"/>
          <w:caps/>
          <w:color w:val="auto"/>
          <w:sz w:val="24"/>
          <w:szCs w:val="24"/>
        </w:rPr>
        <w:t xml:space="preserve">закупки</w:t>
      </w:r>
      <w:r>
        <w:rPr>
          <w:rStyle w:val="1169"/>
          <w:b w:val="0"/>
          <w:bCs w:val="0"/>
          <w:caps/>
          <w:sz w:val="24"/>
          <w:szCs w:val="24"/>
        </w:rPr>
      </w:r>
      <w:bookmarkEnd w:id="316"/>
      <w:r>
        <w:rPr>
          <w:rStyle w:val="1169"/>
          <w:b w:val="0"/>
          <w:bCs w:val="0"/>
          <w:caps/>
          <w:sz w:val="24"/>
          <w:szCs w:val="24"/>
        </w:rPr>
      </w:r>
      <w:r>
        <w:rPr>
          <w:rStyle w:val="1169"/>
          <w:b w:val="0"/>
          <w:bCs w:val="0"/>
          <w:caps/>
          <w:sz w:val="24"/>
          <w:szCs w:val="24"/>
        </w:rPr>
      </w:r>
    </w:p>
    <w:p>
      <w:r/>
      <w:r/>
    </w:p>
    <w:p>
      <w:pPr>
        <w:pStyle w:val="1148"/>
        <w:numPr>
          <w:ilvl w:val="0"/>
          <w:numId w:val="1"/>
        </w:numPr>
        <w:ind w:left="0" w:firstLine="567"/>
        <w:jc w:val="both"/>
        <w:keepNext w:val="0"/>
        <w:spacing w:before="0" w:after="0"/>
        <w:rPr>
          <w:sz w:val="24"/>
          <w:szCs w:val="24"/>
        </w:rPr>
      </w:pPr>
      <w:r/>
      <w:bookmarkStart w:id="317" w:name="_Toc2"/>
      <w:r/>
      <w:bookmarkStart w:id="3" w:name="_ОБЩИЕ_ПОЛОЖЕНИЯ"/>
      <w:r/>
      <w:bookmarkStart w:id="6" w:name="_Ref166101247"/>
      <w:r/>
      <w:bookmarkStart w:id="7" w:name="_Ref166101251"/>
      <w:r/>
      <w:bookmarkEnd w:id="3"/>
      <w:r>
        <w:rPr>
          <w:sz w:val="24"/>
          <w:szCs w:val="24"/>
        </w:rPr>
        <w:t xml:space="preserve">ОБЩИЕ ПОЛОЖЕНИЯ</w:t>
      </w:r>
      <w:bookmarkEnd w:id="6"/>
      <w:r/>
      <w:bookmarkEnd w:id="7"/>
      <w:r>
        <w:rPr>
          <w:sz w:val="24"/>
          <w:szCs w:val="24"/>
        </w:rPr>
      </w:r>
      <w:bookmarkEnd w:id="317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49"/>
        <w:numPr>
          <w:ilvl w:val="1"/>
          <w:numId w:val="1"/>
        </w:numPr>
        <w:ind w:left="0" w:firstLine="567"/>
        <w:jc w:val="left"/>
        <w:keepNext w:val="0"/>
        <w:spacing w:after="0"/>
        <w:rPr>
          <w:sz w:val="24"/>
          <w:szCs w:val="24"/>
        </w:rPr>
      </w:pPr>
      <w:r/>
      <w:bookmarkStart w:id="318" w:name="_Toc3"/>
      <w:r>
        <w:rPr>
          <w:sz w:val="24"/>
          <w:szCs w:val="24"/>
        </w:rPr>
        <w:t xml:space="preserve">Правовой статус документов</w:t>
      </w:r>
      <w:r>
        <w:rPr>
          <w:sz w:val="24"/>
          <w:szCs w:val="24"/>
        </w:rPr>
      </w:r>
      <w:bookmarkEnd w:id="318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311"/>
        <w:numPr>
          <w:ilvl w:val="2"/>
          <w:numId w:val="1"/>
        </w:numPr>
        <w:ind w:left="0" w:firstLine="567"/>
        <w:jc w:val="both"/>
        <w:outlineLvl w:val="2"/>
      </w:pPr>
      <w:r/>
      <w:bookmarkStart w:id="10" w:name="_Ref119427085"/>
      <w:r/>
      <w:bookmarkStart w:id="11" w:name="_Ref11225299"/>
      <w:r>
        <w:t xml:space="preserve">Настоящая документация о закупке подготовлена в соответствии </w:t>
      </w:r>
      <w:bookmarkEnd w:id="10"/>
      <w:r>
        <w:t xml:space="preserve">с требованиями </w:t>
      </w:r>
      <w:hyperlink r:id="rId11" w:tooltip="http://www.consultant.ru/document/cons_doc_LAW_116964/" w:history="1">
        <w:r>
          <w:rPr>
            <w:rStyle w:val="1218"/>
          </w:rPr>
          <w:t xml:space="preserve">Федерального закона от 18.07.2011 № 223-ФЗ «О закупке товаров, работ, услуг отдельными видами юридических лиц»</w:t>
        </w:r>
      </w:hyperlink>
      <w:r>
        <w:t xml:space="preserve"> (далее – Закон 223-ФЗ), иными нормативными правовыми актами Российской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</w:t>
      </w:r>
      <w:hyperlink r:id="rId12" w:tooltip="https://rosseti-sz.ru/purchase/purchasemanage/pur_docs/" w:history="1">
        <w:r>
          <w:rPr>
            <w:rStyle w:val="1218"/>
          </w:rPr>
          <w:t xml:space="preserve">Единого стандарта закупок ПАО «Россети»</w:t>
        </w:r>
      </w:hyperlink>
      <w:r>
        <w:t xml:space="preserve"> (далее – Стандарт, Положение о закупке), (в редакции, действующей на дату официального размещения извещения).</w:t>
      </w:r>
      <w:r/>
    </w:p>
    <w:p>
      <w:pPr>
        <w:pStyle w:val="1311"/>
        <w:numPr>
          <w:ilvl w:val="2"/>
          <w:numId w:val="1"/>
        </w:numPr>
        <w:ind w:left="0" w:firstLine="567"/>
        <w:jc w:val="both"/>
        <w:outlineLvl w:val="2"/>
      </w:pPr>
      <w:r>
        <w:t xml:space="preserve">Термины и определения, </w:t>
      </w:r>
      <w:r>
        <w:t xml:space="preserve">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</w:t>
      </w:r>
      <w:hyperlink r:id="rId13" w:tooltip="https://rosseti-sz.ru/purchase/purchasemanage/pur_docs/" w:history="1">
        <w:r>
          <w:rPr>
            <w:rStyle w:val="1218"/>
          </w:rPr>
          <w:t xml:space="preserve">Стандарту</w:t>
        </w:r>
      </w:hyperlink>
      <w:r>
        <w:t xml:space="preserve">, если настоящей документацией о закупке не установлено иное.</w:t>
      </w:r>
      <w:r/>
    </w:p>
    <w:p>
      <w:pPr>
        <w:pStyle w:val="1311"/>
        <w:numPr>
          <w:ilvl w:val="2"/>
          <w:numId w:val="1"/>
        </w:numPr>
        <w:ind w:left="0" w:firstLine="567"/>
        <w:jc w:val="both"/>
        <w:outlineLvl w:val="2"/>
      </w:pPr>
      <w:r>
        <w:t xml:space="preserve">Извещение о закупке и настоящая документация о закупке, размещенные Заказчиком в Единой информационной системе в сфере закупок товаров, рабо</w:t>
      </w:r>
      <w:r>
        <w:t xml:space="preserve">т, услуг для обеспечения государственных и муниципальных нужд (далее – единая информационная система, ЕИС), являются офертой Заказчика и должны рассматриваться участниками закупки в соответствии с этим в течение срока, определенного для проведения закупки.</w:t>
      </w:r>
      <w:r/>
    </w:p>
    <w:p>
      <w:pPr>
        <w:pStyle w:val="1311"/>
        <w:numPr>
          <w:ilvl w:val="2"/>
          <w:numId w:val="1"/>
        </w:numPr>
        <w:ind w:left="0" w:firstLine="567"/>
      </w:pPr>
      <w:r>
        <w:t xml:space="preserve">Участник закупки подает заявку на участие в конкурентной закупке (далее – заявка, заявка участника закупки).</w:t>
      </w:r>
      <w:r/>
    </w:p>
    <w:p>
      <w:pPr>
        <w:pStyle w:val="1311"/>
        <w:numPr>
          <w:ilvl w:val="2"/>
          <w:numId w:val="1"/>
        </w:numPr>
        <w:ind w:left="0" w:firstLine="567"/>
        <w:jc w:val="both"/>
        <w:outlineLvl w:val="2"/>
      </w:pPr>
      <w:r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Заказчиком в соответствии с этим.</w:t>
      </w:r>
      <w:r/>
    </w:p>
    <w:p>
      <w:pPr>
        <w:pStyle w:val="1311"/>
        <w:numPr>
          <w:ilvl w:val="2"/>
          <w:numId w:val="1"/>
        </w:numPr>
        <w:ind w:left="0" w:firstLine="567"/>
        <w:jc w:val="both"/>
        <w:outlineLvl w:val="2"/>
      </w:pPr>
      <w:r>
        <w:t xml:space="preserve">Во всем, что не урегулировано извещением о закупке и настоящей документацией о закупке, стороны руководствуются законодательством о закупках отдельными видами юридических лиц, </w:t>
      </w:r>
      <w:hyperlink r:id="rId14" w:tooltip="http://www.consultant.ru/document/cons_doc_LAW_5142/" w:history="1">
        <w:r>
          <w:rPr>
            <w:rStyle w:val="1218"/>
          </w:rPr>
          <w:t xml:space="preserve">Гражданским кодексом Российской Федерации</w:t>
        </w:r>
      </w:hyperlink>
      <w:r>
        <w:t xml:space="preserve">, </w:t>
      </w:r>
      <w:hyperlink r:id="rId15" w:tooltip="https://rosseti-sz.ru/purchase/purchasemanage/pur_docs/" w:history="1">
        <w:r>
          <w:rPr>
            <w:rStyle w:val="1218"/>
          </w:rPr>
          <w:t xml:space="preserve">Положением о закупке Заказчика</w:t>
        </w:r>
      </w:hyperlink>
      <w:r>
        <w:t xml:space="preserve">.</w:t>
      </w:r>
      <w:r/>
    </w:p>
    <w:p>
      <w:pPr>
        <w:pStyle w:val="1311"/>
        <w:numPr>
          <w:ilvl w:val="2"/>
          <w:numId w:val="1"/>
        </w:numPr>
        <w:ind w:left="0" w:firstLine="567"/>
        <w:jc w:val="both"/>
        <w:outlineLvl w:val="2"/>
      </w:pPr>
      <w:r>
        <w:t xml:space="preserve">Если в отношении сторон договора, заключае</w:t>
      </w:r>
      <w:r>
        <w:t xml:space="preserve">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  <w:r/>
    </w:p>
    <w:p>
      <w:pPr>
        <w:pStyle w:val="1149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319" w:name="_Toc4"/>
      <w:r>
        <w:rPr>
          <w:sz w:val="24"/>
          <w:szCs w:val="24"/>
        </w:rPr>
        <w:t xml:space="preserve">Заказчик</w:t>
      </w:r>
      <w:r>
        <w:rPr>
          <w:sz w:val="24"/>
          <w:szCs w:val="24"/>
        </w:rPr>
        <w:t xml:space="preserve">, предмет и условия проведения закупки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bookmarkEnd w:id="319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5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14" w:name="_Ref166267341"/>
      <w:r>
        <w:rPr>
          <w:rFonts w:ascii="Times New Roman" w:hAnsi="Times New Roman" w:cs="Times New Roman"/>
          <w:b w:val="0"/>
          <w:bCs w:val="0"/>
        </w:rPr>
        <w:t xml:space="preserve">Заказчик, указанный в пункте</w:t>
      </w:r>
      <w:r>
        <w:rPr>
          <w:rFonts w:ascii="Times New Roman" w:hAnsi="Times New Roman" w:cs="Times New Roman"/>
          <w:b w:val="0"/>
          <w:bCs w:val="0"/>
        </w:rPr>
        <w:t xml:space="preserve"> </w:t>
      </w:r>
      <w:hyperlink w:tooltip="#_Наименование,_место_нахождения," w:anchor="_Наименование,_место_нахождения," w:history="1">
        <w:r>
          <w:rPr>
            <w:rStyle w:val="1218"/>
            <w:rFonts w:ascii="Times New Roman" w:hAnsi="Times New Roman" w:cs="Times New Roman"/>
            <w:b w:val="0"/>
            <w:bCs w:val="0"/>
          </w:rPr>
          <w:t xml:space="preserve">2 части II «ИНФОРМАЦИОННАЯ КАРТА ЗАКУПКИ»</w:t>
        </w:r>
      </w:hyperlink>
      <w:r>
        <w:rPr>
          <w:rFonts w:ascii="Times New Roman" w:hAnsi="Times New Roman" w:cs="Times New Roman"/>
          <w:b w:val="0"/>
          <w:bCs w:val="0"/>
        </w:rPr>
        <w:t xml:space="preserve"> настоящей документации </w:t>
      </w:r>
      <w:r>
        <w:rPr>
          <w:rFonts w:ascii="Times New Roman" w:hAnsi="Times New Roman" w:cs="Times New Roman"/>
          <w:b w:val="0"/>
          <w:bCs w:val="0"/>
        </w:rPr>
        <w:t xml:space="preserve">о закупке </w:t>
      </w:r>
      <w:r>
        <w:rPr>
          <w:rFonts w:ascii="Times New Roman" w:hAnsi="Times New Roman" w:cs="Times New Roman"/>
          <w:b w:val="0"/>
          <w:bCs w:val="0"/>
        </w:rPr>
        <w:t xml:space="preserve">соответственно (далее по тексту ссылки на </w:t>
      </w:r>
      <w:r>
        <w:rPr>
          <w:rFonts w:ascii="Times New Roman" w:hAnsi="Times New Roman" w:cs="Times New Roman"/>
          <w:b w:val="0"/>
          <w:bCs w:val="0"/>
        </w:rPr>
        <w:t xml:space="preserve">части, </w:t>
      </w:r>
      <w:r>
        <w:rPr>
          <w:rFonts w:ascii="Times New Roman" w:hAnsi="Times New Roman" w:cs="Times New Roman"/>
          <w:b w:val="0"/>
          <w:bCs w:val="0"/>
        </w:rPr>
        <w:t xml:space="preserve">разделы, подразделы, пункты и подпункты относятся исключительно к настоящей документации</w:t>
      </w:r>
      <w:r>
        <w:rPr>
          <w:rFonts w:ascii="Times New Roman" w:hAnsi="Times New Roman" w:cs="Times New Roman"/>
          <w:b w:val="0"/>
          <w:bCs w:val="0"/>
        </w:rPr>
        <w:t xml:space="preserve"> о закупке</w:t>
      </w:r>
      <w:r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>
        <w:rPr>
          <w:rFonts w:ascii="Times New Roman" w:hAnsi="Times New Roman" w:cs="Times New Roman"/>
          <w:b w:val="0"/>
          <w:bCs w:val="0"/>
        </w:rPr>
        <w:t xml:space="preserve">закупку</w:t>
      </w:r>
      <w:r>
        <w:rPr>
          <w:rFonts w:ascii="Times New Roman" w:hAnsi="Times New Roman" w:cs="Times New Roman"/>
          <w:b w:val="0"/>
          <w:bCs w:val="0"/>
        </w:rPr>
        <w:t xml:space="preserve">, предмет и условия которо</w:t>
      </w:r>
      <w:r>
        <w:rPr>
          <w:rFonts w:ascii="Times New Roman" w:hAnsi="Times New Roman" w:cs="Times New Roman"/>
          <w:b w:val="0"/>
          <w:bCs w:val="0"/>
        </w:rPr>
        <w:t xml:space="preserve">й</w:t>
      </w:r>
      <w:r>
        <w:rPr>
          <w:rFonts w:ascii="Times New Roman" w:hAnsi="Times New Roman" w:cs="Times New Roman"/>
          <w:b w:val="0"/>
          <w:bCs w:val="0"/>
        </w:rPr>
        <w:t xml:space="preserve"> указаны в </w:t>
      </w:r>
      <w:hyperlink w:tooltip="#_РАЗДЕЛ_I_3_ИНФОРМАЦИОННАЯ_КАРТА_КОН" w:anchor="_РАЗДЕЛ_I_3_ИНФОРМАЦИОННАЯ_КАРТА_КОН" w:history="1">
        <w:r>
          <w:rPr>
            <w:rStyle w:val="1218"/>
            <w:rFonts w:ascii="Times New Roman" w:hAnsi="Times New Roman" w:cs="Times New Roman"/>
            <w:b w:val="0"/>
            <w:bCs w:val="0"/>
          </w:rPr>
          <w:t xml:space="preserve">части II «ИНФОРМАЦИОННАЯ КАРТА ЗАКУПКИ»</w:t>
        </w:r>
      </w:hyperlink>
      <w:r>
        <w:rPr>
          <w:rFonts w:ascii="Times New Roman" w:hAnsi="Times New Roman" w:cs="Times New Roman"/>
          <w:b w:val="0"/>
          <w:bCs w:val="0"/>
        </w:rPr>
        <w:t xml:space="preserve">, в соответствии с процедурами, условиями и положениями </w:t>
      </w:r>
      <w:r>
        <w:rPr>
          <w:rFonts w:ascii="Times New Roman" w:hAnsi="Times New Roman" w:cs="Times New Roman"/>
          <w:b w:val="0"/>
          <w:bCs w:val="0"/>
        </w:rPr>
        <w:t xml:space="preserve">настоящей</w:t>
      </w:r>
      <w:r>
        <w:rPr>
          <w:rFonts w:ascii="Times New Roman" w:hAnsi="Times New Roman" w:cs="Times New Roman"/>
          <w:b w:val="0"/>
          <w:bCs w:val="0"/>
        </w:rPr>
        <w:t xml:space="preserve"> документации</w:t>
      </w:r>
      <w:r>
        <w:rPr>
          <w:rFonts w:ascii="Times New Roman" w:hAnsi="Times New Roman" w:cs="Times New Roman"/>
          <w:b w:val="0"/>
          <w:bCs w:val="0"/>
        </w:rPr>
        <w:t xml:space="preserve"> о закупке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bookmarkEnd w:id="14"/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5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5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</w:t>
      </w:r>
      <w:r>
        <w:rPr>
          <w:rFonts w:ascii="Times New Roman" w:hAnsi="Times New Roman" w:cs="Times New Roman"/>
          <w:b w:val="0"/>
          <w:bCs w:val="0"/>
        </w:rPr>
        <w:t xml:space="preserve">рганизатора закупки, информация о котором (в случае принятия такого решения) должна быть указана в </w:t>
      </w:r>
      <w:r>
        <w:rPr>
          <w:rFonts w:ascii="Times New Roman" w:hAnsi="Times New Roman" w:cs="Times New Roman"/>
          <w:b w:val="0"/>
          <w:bCs w:val="0"/>
        </w:rPr>
        <w:t xml:space="preserve">пункте</w:t>
      </w:r>
      <w:r>
        <w:rPr>
          <w:rFonts w:ascii="Times New Roman" w:hAnsi="Times New Roman" w:cs="Times New Roman"/>
          <w:b w:val="0"/>
          <w:bCs w:val="0"/>
        </w:rPr>
        <w:t xml:space="preserve"> </w:t>
      </w:r>
      <w:hyperlink w:tooltip="#_Наименование,_место_нахождения," w:anchor="_Наименование,_место_нахождения," w:history="1">
        <w:r>
          <w:rPr>
            <w:rStyle w:val="1218"/>
            <w:rFonts w:ascii="Times New Roman" w:hAnsi="Times New Roman" w:cs="Times New Roman"/>
            <w:b w:val="0"/>
            <w:bCs w:val="0"/>
          </w:rPr>
          <w:t xml:space="preserve">2 части II «ИНФОРМАЦИОННАЯ КАРТА ЗАКУПКИ»</w:t>
        </w:r>
      </w:hyperlink>
      <w:r>
        <w:rPr>
          <w:rFonts w:ascii="Times New Roman" w:hAnsi="Times New Roman" w:cs="Times New Roman"/>
          <w:b w:val="0"/>
          <w:bCs w:val="0"/>
        </w:rPr>
        <w:t xml:space="preserve">.</w:t>
      </w:r>
      <w:r>
        <w:t xml:space="preserve"> </w:t>
      </w:r>
      <w:r>
        <w:rPr>
          <w:rFonts w:ascii="Times New Roman" w:hAnsi="Times New Roman" w:cs="Times New Roman"/>
          <w:b w:val="0"/>
          <w:bCs w:val="0"/>
        </w:rPr>
        <w:t xml:space="preserve">Р</w:t>
      </w:r>
      <w:r>
        <w:rPr>
          <w:rFonts w:ascii="Times New Roman" w:hAnsi="Times New Roman" w:cs="Times New Roman"/>
          <w:b w:val="0"/>
          <w:bCs w:val="0"/>
        </w:rPr>
        <w:t xml:space="preserve">аспределение функций между Заказчиком и таким Организатором закупки определяется договором, подписанным между ними</w:t>
      </w:r>
      <w:r>
        <w:rPr>
          <w:rFonts w:ascii="Times New Roman" w:hAnsi="Times New Roman" w:cs="Times New Roman"/>
          <w:b w:val="0"/>
          <w:bCs w:val="0"/>
        </w:rPr>
        <w:t xml:space="preserve"> с учетом требований Стандарта.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49"/>
        <w:numPr>
          <w:ilvl w:val="1"/>
          <w:numId w:val="1"/>
        </w:numPr>
        <w:ind w:left="0" w:firstLine="567"/>
        <w:jc w:val="left"/>
        <w:keepNext w:val="0"/>
        <w:spacing w:after="0"/>
        <w:rPr>
          <w:sz w:val="24"/>
          <w:szCs w:val="24"/>
        </w:rPr>
      </w:pPr>
      <w:r/>
      <w:bookmarkStart w:id="320" w:name="_Toc5"/>
      <w:r>
        <w:rPr>
          <w:sz w:val="24"/>
          <w:szCs w:val="24"/>
        </w:rPr>
        <w:t xml:space="preserve">Начальная (максимальная) цена </w:t>
      </w:r>
      <w:r>
        <w:rPr>
          <w:sz w:val="24"/>
          <w:szCs w:val="24"/>
        </w:rPr>
        <w:t xml:space="preserve">договора (цена лота)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</w:r>
      <w:bookmarkEnd w:id="320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50"/>
        <w:numPr>
          <w:ilvl w:val="2"/>
          <w:numId w:val="1"/>
        </w:numPr>
        <w:ind w:left="0" w:firstLine="567"/>
        <w:spacing w:before="0" w:after="0"/>
        <w:rPr>
          <w:rFonts w:ascii="Times New Roman" w:hAnsi="Times New Roman" w:cs="Times New Roman"/>
          <w:b w:val="0"/>
        </w:rPr>
      </w:pPr>
      <w:r/>
      <w:bookmarkStart w:id="17" w:name="_Ref166311292"/>
      <w:r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закупке и</w:t>
      </w:r>
      <w:r>
        <w:rPr>
          <w:rFonts w:ascii="Times New Roman" w:hAnsi="Times New Roman" w:cs="Times New Roman"/>
          <w:b w:val="0"/>
          <w:bCs w:val="0"/>
        </w:rPr>
        <w:t xml:space="preserve"> в</w:t>
      </w:r>
      <w:r>
        <w:rPr>
          <w:rFonts w:ascii="Times New Roman" w:hAnsi="Times New Roman" w:cs="Times New Roman"/>
          <w:b w:val="0"/>
          <w:bCs w:val="0"/>
        </w:rPr>
        <w:t xml:space="preserve"> </w:t>
      </w:r>
      <w:r>
        <w:rPr>
          <w:rFonts w:ascii="Times New Roman" w:hAnsi="Times New Roman" w:cs="Times New Roman"/>
          <w:b w:val="0"/>
          <w:bCs w:val="0"/>
        </w:rPr>
        <w:t xml:space="preserve">пункте </w:t>
      </w:r>
      <w:hyperlink w:tooltip="#_Сведения_о_начальной" w:anchor="_Сведения_о_начальной" w:history="1">
        <w:r>
          <w:rPr>
            <w:rStyle w:val="1218"/>
            <w:rFonts w:ascii="Times New Roman" w:hAnsi="Times New Roman" w:cs="Times New Roman"/>
            <w:b w:val="0"/>
            <w:bCs w:val="0"/>
          </w:rPr>
          <w:t xml:space="preserve">7 части II «ИНФОРМАЦИОННАЯ КАРТА ЗАКУПКИ»</w:t>
        </w:r>
      </w:hyperlink>
      <w:r>
        <w:rPr>
          <w:rFonts w:ascii="Times New Roman" w:hAnsi="Times New Roman" w:cs="Times New Roman"/>
          <w:b w:val="0"/>
          <w:bCs w:val="0"/>
        </w:rPr>
        <w:t xml:space="preserve">. </w:t>
      </w:r>
      <w:bookmarkEnd w:id="17"/>
      <w:r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Заказчиком в виде </w:t>
      </w:r>
      <w:r>
        <w:rPr>
          <w:rFonts w:ascii="Times New Roman" w:hAnsi="Times New Roman" w:cs="Times New Roman"/>
          <w:b w:val="0"/>
        </w:rPr>
        <w:t xml:space="preserve">сведений о начальной (максимальной) цене договора (цена лота), либо формулы це</w:t>
      </w:r>
      <w:r>
        <w:rPr>
          <w:rFonts w:ascii="Times New Roman" w:hAnsi="Times New Roman" w:cs="Times New Roman"/>
          <w:b w:val="0"/>
        </w:rPr>
        <w:t xml:space="preserve">ны, устанавливающей правила расчета сумм, подлежащих уплате заказчиком поставщику (исполнителю, подрядчику) в ходе исполнения договора, и максимального значения цены договора, либо цены единицы товара, работы, услуги и максимальное значение цены договора. </w:t>
      </w:r>
      <w:r>
        <w:rPr>
          <w:rFonts w:ascii="Times New Roman" w:hAnsi="Times New Roman" w:cs="Times New Roman"/>
          <w:b w:val="0"/>
        </w:rPr>
        <w:t xml:space="preserve"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</w:t>
      </w:r>
      <w:r>
        <w:rPr>
          <w:rFonts w:ascii="Times New Roman" w:hAnsi="Times New Roman" w:cs="Times New Roman"/>
          <w:b w:val="0"/>
        </w:rPr>
        <w:t xml:space="preserve">договора (цена </w:t>
      </w:r>
      <w:r>
        <w:rPr>
          <w:rFonts w:ascii="Times New Roman" w:hAnsi="Times New Roman" w:cs="Times New Roman"/>
          <w:b w:val="0"/>
        </w:rPr>
        <w:t xml:space="preserve">лота</w:t>
      </w:r>
      <w:r>
        <w:rPr>
          <w:rFonts w:ascii="Times New Roman" w:hAnsi="Times New Roman" w:cs="Times New Roman"/>
          <w:b w:val="0"/>
        </w:rPr>
        <w:t xml:space="preserve">)</w:t>
      </w:r>
      <w:r>
        <w:rPr>
          <w:rFonts w:ascii="Times New Roman" w:hAnsi="Times New Roman" w:cs="Times New Roman"/>
          <w:b w:val="0"/>
        </w:rPr>
        <w:t xml:space="preserve"> может включать в себя указание начальных максимальных цен отдельных договоров.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1150"/>
        <w:numPr>
          <w:ilvl w:val="2"/>
          <w:numId w:val="1"/>
        </w:numPr>
        <w:ind w:left="0" w:firstLine="567"/>
        <w:spacing w:before="0" w:after="0"/>
        <w:tabs>
          <w:tab w:val="clear" w:pos="454" w:leader="none"/>
          <w:tab w:val="num" w:pos="738" w:leader="none"/>
        </w:tabs>
        <w:rPr>
          <w:rFonts w:ascii="Times New Roman" w:hAnsi="Times New Roman" w:cs="Times New Roman"/>
          <w:b w:val="0"/>
          <w:bCs w:val="0"/>
          <w:color w:val="ff0000"/>
        </w:rPr>
      </w:pPr>
      <w:r/>
      <w:bookmarkStart w:id="18" w:name="_Начальная_(максимальная)_цена"/>
      <w:r/>
      <w:bookmarkStart w:id="19" w:name="_Ref178774932"/>
      <w:r/>
      <w:bookmarkStart w:id="20" w:name="P132"/>
      <w:r/>
      <w:bookmarkEnd w:id="18"/>
      <w:r>
        <w:rPr>
          <w:rFonts w:ascii="Times New Roman" w:hAnsi="Times New Roman" w:cs="Times New Roman"/>
          <w:b w:val="0"/>
          <w:bCs w:val="0"/>
          <w:color w:val="ff0000"/>
        </w:rPr>
        <w:t xml:space="preserve">Начальная (максимальная) цена каждого товара, работы, услуги, являющихся предметом </w:t>
      </w:r>
      <w:r>
        <w:rPr>
          <w:rFonts w:ascii="Times New Roman" w:hAnsi="Times New Roman" w:cs="Times New Roman"/>
          <w:b w:val="0"/>
          <w:bCs w:val="0"/>
          <w:color w:val="ff0000"/>
        </w:rPr>
        <w:t xml:space="preserve">конкурса</w:t>
      </w:r>
      <w:r>
        <w:rPr>
          <w:rFonts w:ascii="Times New Roman" w:hAnsi="Times New Roman" w:cs="Times New Roman"/>
          <w:b w:val="0"/>
          <w:bCs w:val="0"/>
          <w:color w:val="ff0000"/>
        </w:rPr>
        <w:t xml:space="preserve">, составляет значения, указанные в </w:t>
      </w:r>
      <w:r>
        <w:rPr>
          <w:rFonts w:ascii="Times New Roman" w:hAnsi="Times New Roman" w:cs="Times New Roman"/>
          <w:b w:val="0"/>
          <w:bCs w:val="0"/>
          <w:color w:val="ff0000"/>
          <w:highlight w:val="yellow"/>
        </w:rPr>
        <w:t xml:space="preserve">приложении 3</w:t>
      </w:r>
      <w:r>
        <w:rPr>
          <w:rFonts w:ascii="Times New Roman" w:hAnsi="Times New Roman" w:cs="Times New Roman"/>
          <w:highlight w:val="yellow"/>
        </w:rPr>
        <w:t xml:space="preserve"> </w:t>
      </w:r>
      <w:r>
        <w:rPr>
          <w:rFonts w:ascii="Times New Roman" w:hAnsi="Times New Roman" w:cs="Times New Roman"/>
          <w:b w:val="0"/>
          <w:bCs w:val="0"/>
          <w:color w:val="ff0000"/>
          <w:highlight w:val="yellow"/>
        </w:rPr>
        <w:t xml:space="preserve">к </w:t>
      </w:r>
      <w:r>
        <w:rPr>
          <w:rFonts w:ascii="Times New Roman" w:hAnsi="Times New Roman" w:cs="Times New Roman"/>
          <w:b w:val="0"/>
          <w:bCs w:val="0"/>
          <w:color w:val="ff0000"/>
          <w:highlight w:val="yellow"/>
        </w:rPr>
        <w:t xml:space="preserve">документации</w:t>
      </w:r>
      <w:r>
        <w:rPr>
          <w:rFonts w:ascii="Times New Roman" w:hAnsi="Times New Roman" w:cs="Times New Roman"/>
          <w:b w:val="0"/>
          <w:bCs w:val="0"/>
          <w:color w:val="ff0000"/>
          <w:highlight w:val="yellow"/>
        </w:rPr>
        <w:t xml:space="preserve"> о закупке</w:t>
      </w:r>
      <w:r>
        <w:rPr>
          <w:rFonts w:ascii="Times New Roman" w:hAnsi="Times New Roman" w:cs="Times New Roman"/>
          <w:b w:val="0"/>
          <w:bCs w:val="0"/>
          <w:color w:val="ff0000"/>
        </w:rPr>
        <w:t xml:space="preserve">.</w:t>
      </w:r>
      <w:bookmarkEnd w:id="19"/>
      <w:r/>
      <w:bookmarkEnd w:id="20"/>
      <w:r>
        <w:rPr>
          <w:rFonts w:ascii="Times New Roman" w:hAnsi="Times New Roman" w:cs="Times New Roman"/>
          <w:b w:val="0"/>
          <w:bCs w:val="0"/>
          <w:color w:val="ff0000"/>
        </w:rPr>
      </w:r>
      <w:r>
        <w:rPr>
          <w:rFonts w:ascii="Times New Roman" w:hAnsi="Times New Roman" w:cs="Times New Roman"/>
          <w:b w:val="0"/>
          <w:bCs w:val="0"/>
          <w:color w:val="ff0000"/>
        </w:rPr>
      </w:r>
    </w:p>
    <w:p>
      <w:pPr>
        <w:ind w:firstLine="567"/>
      </w:pPr>
      <w:r>
        <w:t xml:space="preserve">Данные значения (нача</w:t>
      </w:r>
      <w:r>
        <w:t xml:space="preserve">льная (максимальная) цена каждой</w:t>
      </w:r>
      <w:r>
        <w:t xml:space="preserve"> работы, услуги) приводятся в том числе для расчета соотношения цены выполнения работ, оказания услуг российскими и иностранными лицами.</w:t>
      </w:r>
      <w:r/>
    </w:p>
    <w:p>
      <w:pPr>
        <w:pStyle w:val="1149"/>
        <w:numPr>
          <w:ilvl w:val="1"/>
          <w:numId w:val="1"/>
        </w:numPr>
        <w:ind w:left="0" w:firstLine="567"/>
        <w:jc w:val="left"/>
        <w:keepNext w:val="0"/>
        <w:spacing w:after="0"/>
        <w:rPr>
          <w:sz w:val="24"/>
          <w:szCs w:val="24"/>
        </w:rPr>
      </w:pPr>
      <w:r/>
      <w:bookmarkStart w:id="321" w:name="_Toc6"/>
      <w:r/>
      <w:bookmarkStart w:id="21" w:name="_Требования_к_участникам"/>
      <w:r/>
      <w:bookmarkEnd w:id="21"/>
      <w:r>
        <w:rPr>
          <w:sz w:val="24"/>
          <w:szCs w:val="24"/>
        </w:rPr>
        <w:t xml:space="preserve">Требования к </w:t>
      </w:r>
      <w:r>
        <w:rPr>
          <w:sz w:val="24"/>
          <w:szCs w:val="24"/>
        </w:rPr>
        <w:t xml:space="preserve">участникам закупки</w:t>
      </w:r>
      <w:r>
        <w:rPr>
          <w:sz w:val="24"/>
          <w:szCs w:val="24"/>
        </w:rPr>
      </w:r>
      <w:bookmarkEnd w:id="321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2"/>
          <w:numId w:val="1"/>
        </w:numPr>
        <w:ind w:left="0" w:firstLine="567"/>
        <w:spacing w:after="0"/>
        <w:widowControl w:val="off"/>
        <w:rPr>
          <w:rFonts w:eastAsiaTheme="minorHAnsi"/>
          <w:lang w:eastAsia="en-US"/>
        </w:rPr>
        <w:outlineLvl w:val="2"/>
      </w:pPr>
      <w:r>
        <w:rPr>
          <w:rFonts w:eastAsiaTheme="minorHAnsi"/>
          <w:lang w:eastAsia="en-US"/>
        </w:rPr>
        <w:t xml:space="preserve">Участником закупки может быть:</w:t>
      </w:r>
      <w:r>
        <w:rPr>
          <w:rFonts w:eastAsiaTheme="minorHAnsi"/>
          <w:lang w:eastAsia="en-US"/>
        </w:rPr>
      </w:r>
      <w:r>
        <w:rPr>
          <w:rFonts w:eastAsiaTheme="minorHAnsi"/>
          <w:lang w:eastAsia="en-US"/>
        </w:rPr>
      </w:r>
    </w:p>
    <w:p>
      <w:pPr>
        <w:numPr>
          <w:ilvl w:val="3"/>
          <w:numId w:val="34"/>
        </w:numPr>
        <w:ind w:left="0" w:firstLine="567"/>
        <w:spacing w:after="0"/>
        <w:widowControl w:val="off"/>
        <w:tabs>
          <w:tab w:val="left" w:pos="1134" w:leader="none"/>
        </w:tabs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любое юридическое лицо или несколько юридических лиц, выступающих на стороне одного участника закупки (в том числе на основании договора о создании простого товарищества в соответствии с требован</w:t>
      </w:r>
      <w:r>
        <w:rPr>
          <w:rFonts w:eastAsiaTheme="minorHAnsi"/>
          <w:lang w:eastAsia="en-US"/>
        </w:rPr>
        <w:t xml:space="preserve">иями действующего законодательства Российской Федерации), независимо от организационно-правовой формы, формы собственности, места нахождения и места происхождения капитала, за исключением юридического лица, являющегося иностранным агентом в соответствии с </w:t>
      </w:r>
      <w:hyperlink r:id="rId16" w:tooltip="https://www.consultant.ru/document/cons_doc_LAW_421788/?ysclid=lh7gcn0ch0337012251" w:history="1">
        <w:r>
          <w:rPr>
            <w:rFonts w:eastAsiaTheme="minorHAnsi"/>
            <w:color w:val="0000ff"/>
            <w:u w:val="single"/>
            <w:lang w:eastAsia="en-US"/>
          </w:rPr>
          <w:t xml:space="preserve">Федеральным законом от 14 июля 2022 года № 255-ФЗ «О контроле за деятельностью лиц, находящихся под иностранным влиянием»</w:t>
        </w:r>
      </w:hyperlink>
      <w:r>
        <w:rPr>
          <w:rFonts w:eastAsiaTheme="minorHAnsi"/>
          <w:lang w:eastAsia="en-US"/>
        </w:rPr>
        <w:t xml:space="preserve">, если иное не предусмотрено законодательством Российской Федерации;</w:t>
      </w:r>
      <w:r>
        <w:rPr>
          <w:rFonts w:eastAsiaTheme="minorHAnsi"/>
          <w:lang w:eastAsia="en-US"/>
        </w:rPr>
      </w:r>
      <w:r>
        <w:rPr>
          <w:rFonts w:eastAsiaTheme="minorHAnsi"/>
          <w:lang w:eastAsia="en-US"/>
        </w:rPr>
      </w:r>
    </w:p>
    <w:p>
      <w:pPr>
        <w:numPr>
          <w:ilvl w:val="3"/>
          <w:numId w:val="34"/>
        </w:numPr>
        <w:ind w:left="0" w:firstLine="567"/>
        <w:spacing w:after="0"/>
        <w:widowControl w:val="off"/>
        <w:tabs>
          <w:tab w:val="left" w:pos="1134" w:leader="none"/>
        </w:tabs>
        <w:rPr>
          <w:rFonts w:eastAsiaTheme="minorHAnsi"/>
          <w:lang w:eastAsia="en-US"/>
        </w:rPr>
      </w:pPr>
      <w:r>
        <w:t xml:space="preserve">любое физическое лицо или несколько физических лиц, выступающих на стороне одного участника закупки, в том числе индивидуальный предприниматель или несколько индивидуальных предпринимателей, выступающих на стороне од</w:t>
      </w:r>
      <w:r>
        <w:t xml:space="preserve">ного участника закупки (в том числе на основании договора о создании простого товарищества в соответствии с требованиями действующего законодательства Российской Федерации), за исключением физического лица, являющегося иностранным агентом в соответствии с </w:t>
      </w:r>
      <w:hyperlink r:id="rId17" w:tooltip="https://www.consultant.ru/document/cons_doc_LAW_421788/?ysclid=lh7gd9qdev457426157" w:history="1">
        <w:r>
          <w:rPr>
            <w:color w:val="0000ff"/>
            <w:u w:val="single"/>
          </w:rPr>
          <w:t xml:space="preserve">Федеральным законом от 14 июля 2022 года № 255-ФЗ «О контроле за деятельностью лиц, находящихся под иностранным влиянием»</w:t>
        </w:r>
      </w:hyperlink>
      <w:r>
        <w:rPr>
          <w:color w:val="0000ff"/>
          <w:u w:val="single"/>
        </w:rPr>
        <w:t xml:space="preserve">.</w:t>
      </w:r>
      <w:r>
        <w:rPr>
          <w:rFonts w:eastAsiaTheme="minorHAnsi"/>
          <w:lang w:eastAsia="en-US"/>
        </w:rPr>
      </w:r>
      <w:r>
        <w:rPr>
          <w:rFonts w:eastAsiaTheme="minorHAnsi"/>
          <w:lang w:eastAsia="en-US"/>
        </w:rPr>
      </w:r>
    </w:p>
    <w:p>
      <w:pPr>
        <w:pStyle w:val="1311"/>
        <w:numPr>
          <w:ilvl w:val="2"/>
          <w:numId w:val="1"/>
        </w:numPr>
        <w:ind w:left="0" w:firstLine="567"/>
        <w:jc w:val="both"/>
        <w:outlineLvl w:val="2"/>
      </w:pPr>
      <w:r/>
      <w:bookmarkStart w:id="24" w:name="_Участник_закупки_для"/>
      <w:r/>
      <w:bookmarkStart w:id="25" w:name="_Ref166312025"/>
      <w:r/>
      <w:bookmarkEnd w:id="24"/>
      <w:r>
        <w:t xml:space="preserve">Участники закупки имеют право выступать в отнош</w:t>
      </w:r>
      <w:r>
        <w:t xml:space="preserve">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требованиями действующего законодательства.</w:t>
      </w:r>
      <w:r/>
    </w:p>
    <w:p>
      <w:pPr>
        <w:pStyle w:val="115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</w:t>
      </w:r>
      <w:r>
        <w:rPr>
          <w:rFonts w:ascii="Times New Roman" w:hAnsi="Times New Roman" w:cs="Times New Roman"/>
          <w:b w:val="0"/>
        </w:rPr>
        <w:t xml:space="preserve">закупки </w:t>
      </w:r>
      <w:r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закупке, должен удовлетворять требованиям, установленным в </w:t>
      </w:r>
      <w:r>
        <w:rPr>
          <w:rFonts w:ascii="Times New Roman" w:hAnsi="Times New Roman" w:cs="Times New Roman"/>
          <w:b w:val="0"/>
          <w:bCs w:val="0"/>
        </w:rPr>
        <w:t xml:space="preserve">пункте </w:t>
      </w:r>
      <w:hyperlink w:tooltip="#_Единые_требования_к" w:anchor="_Единые_требования_к" w:history="1">
        <w:r>
          <w:rPr>
            <w:rStyle w:val="1218"/>
            <w:rFonts w:ascii="Times New Roman" w:hAnsi="Times New Roman" w:cs="Times New Roman"/>
            <w:b w:val="0"/>
            <w:bCs w:val="0"/>
          </w:rPr>
          <w:t xml:space="preserve">14 части II «ИНФОРМАЦИОННАЯ КАРТА ЗАКУПКИ»</w:t>
        </w:r>
      </w:hyperlink>
      <w:r>
        <w:rPr>
          <w:rFonts w:ascii="Times New Roman" w:hAnsi="Times New Roman" w:cs="Times New Roman"/>
          <w:b w:val="0"/>
          <w:bCs w:val="0"/>
        </w:rPr>
        <w:t xml:space="preserve">, </w:t>
      </w:r>
      <w:hyperlink w:tooltip="#_Требования,_установленные_в" w:anchor="_Требования,_установленные_в" w:history="1">
        <w:r>
          <w:rPr>
            <w:rStyle w:val="1218"/>
            <w:rFonts w:ascii="Times New Roman" w:hAnsi="Times New Roman" w:cs="Times New Roman"/>
            <w:b w:val="0"/>
            <w:bCs w:val="0"/>
          </w:rPr>
          <w:t xml:space="preserve">1</w:t>
        </w:r>
        <w:r>
          <w:rPr>
            <w:rStyle w:val="1218"/>
            <w:rFonts w:ascii="Times New Roman" w:hAnsi="Times New Roman" w:cs="Times New Roman"/>
            <w:b w:val="0"/>
            <w:bCs w:val="0"/>
          </w:rPr>
          <w:t xml:space="preserve">5</w:t>
        </w:r>
        <w:r>
          <w:rPr>
            <w:rStyle w:val="1218"/>
            <w:rFonts w:ascii="Times New Roman" w:hAnsi="Times New Roman" w:cs="Times New Roman"/>
            <w:b w:val="0"/>
            <w:bCs w:val="0"/>
          </w:rPr>
          <w:t xml:space="preserve"> части II «ИНФОРМАЦИОННАЯ КАРТА ЗАКУПКИ»</w:t>
        </w:r>
      </w:hyperlink>
      <w:r>
        <w:rPr>
          <w:rFonts w:ascii="Times New Roman" w:hAnsi="Times New Roman" w:cs="Times New Roman"/>
          <w:b w:val="0"/>
          <w:bCs w:val="0"/>
        </w:rPr>
        <w:t xml:space="preserve">, </w:t>
      </w:r>
      <w:hyperlink w:tooltip="#_Квалификационные_требования_к" w:anchor="_Квалификационные_требования_к" w:history="1">
        <w:r>
          <w:rPr>
            <w:rStyle w:val="1218"/>
            <w:rFonts w:ascii="Times New Roman" w:hAnsi="Times New Roman" w:cs="Times New Roman"/>
            <w:b w:val="0"/>
            <w:bCs w:val="0"/>
          </w:rPr>
          <w:t xml:space="preserve">16</w:t>
        </w:r>
        <w:r>
          <w:rPr>
            <w:rStyle w:val="1218"/>
            <w:rFonts w:ascii="Times New Roman" w:hAnsi="Times New Roman" w:cs="Times New Roman"/>
            <w:b w:val="0"/>
            <w:bCs w:val="0"/>
          </w:rPr>
          <w:t xml:space="preserve"> части II «ИНФОРМАЦИОННАЯ КАРТА ЗАКУПКИ»</w:t>
        </w:r>
      </w:hyperlink>
      <w:r/>
      <w:bookmarkEnd w:id="25"/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5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в составе заявки должен указать сведения о наличии/отсутствии конфликта интересов и/или связей, носящих характер аффилированности с работниками Заказчика/Организатора закупки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5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в составе заявки должен предоставить справку о цепочке собственников участника закупки, включая бене</w:t>
      </w:r>
      <w:r>
        <w:rPr>
          <w:rFonts w:ascii="Times New Roman" w:hAnsi="Times New Roman" w:cs="Times New Roman"/>
          <w:b w:val="0"/>
          <w:bCs w:val="0"/>
        </w:rPr>
        <w:t xml:space="preserve">фициаров (в том числе конечных).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5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в составе заявки должен ознакомит</w:t>
      </w:r>
      <w:r>
        <w:rPr>
          <w:rFonts w:ascii="Times New Roman" w:hAnsi="Times New Roman" w:cs="Times New Roman"/>
          <w:b w:val="0"/>
          <w:bCs w:val="0"/>
        </w:rPr>
        <w:t xml:space="preserve">ь</w:t>
      </w:r>
      <w:r>
        <w:rPr>
          <w:rFonts w:ascii="Times New Roman" w:hAnsi="Times New Roman" w:cs="Times New Roman"/>
          <w:b w:val="0"/>
          <w:bCs w:val="0"/>
        </w:rPr>
        <w:t xml:space="preserve">ся с требованиями Антикоррупционной политики Заказчика и выразить согласие с принимаемыми заказчиком антикоррупционными мерами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5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Участник закупки должен соответствовать</w:t>
      </w:r>
      <w:r>
        <w:rPr>
          <w:rFonts w:ascii="Times New Roman" w:hAnsi="Times New Roman" w:cs="Times New Roman"/>
          <w:b w:val="0"/>
        </w:rPr>
        <w:t xml:space="preserve"> требованию об отсутствии сведений о нем в </w:t>
      </w:r>
      <w:r>
        <w:rPr>
          <w:rFonts w:ascii="Times New Roman" w:hAnsi="Times New Roman" w:cs="Times New Roman"/>
          <w:b w:val="0"/>
        </w:rPr>
        <w:t xml:space="preserve">реестре недобросовестных поставщиков,</w:t>
      </w:r>
      <w:r>
        <w:rPr>
          <w:rFonts w:ascii="Times New Roman" w:hAnsi="Times New Roman" w:cs="Times New Roman"/>
          <w:b w:val="0"/>
        </w:rPr>
        <w:t xml:space="preserve"> установленном</w:t>
      </w:r>
      <w:r>
        <w:rPr>
          <w:rFonts w:ascii="Times New Roman" w:hAnsi="Times New Roman" w:cs="Times New Roman"/>
          <w:b w:val="0"/>
        </w:rPr>
        <w:t xml:space="preserve"> </w:t>
      </w:r>
      <w:hyperlink r:id="rId18" w:tooltip="http://www.consultant.ru/document/cons_doc_LAW_116964/" w:history="1">
        <w:r>
          <w:rPr>
            <w:rStyle w:val="1218"/>
            <w:rFonts w:ascii="Times New Roman" w:hAnsi="Times New Roman" w:cs="Times New Roman"/>
            <w:b w:val="0"/>
          </w:rPr>
          <w:t xml:space="preserve">Законом 223-ФЗ</w:t>
        </w:r>
      </w:hyperlink>
      <w:r>
        <w:rPr>
          <w:rFonts w:ascii="Times New Roman" w:hAnsi="Times New Roman" w:cs="Times New Roman"/>
          <w:b w:val="0"/>
        </w:rPr>
        <w:t xml:space="preserve">, и (или) в реестре недобросовестных поставщиков, предусмотренном </w:t>
      </w:r>
      <w:hyperlink r:id="rId19" w:tooltip="https://www.consultant.ru/document/cons_doc_LAW_144624/?ysclid=lh7gqoclg7259684790" w:history="1">
        <w:r>
          <w:rPr>
            <w:rStyle w:val="1218"/>
            <w:rFonts w:ascii="Times New Roman" w:hAnsi="Times New Roman" w:cs="Times New Roman"/>
            <w:b w:val="0"/>
          </w:rPr>
          <w:t xml:space="preserve">Федеральным законом от 5 апреля 2013 года № 44-ФЗ «О контрактной системе в сфере закупок товаров, работ, услуг для обеспечения государственных и муниципальных нужд»</w:t>
        </w:r>
      </w:hyperlink>
      <w:r>
        <w:rPr>
          <w:rFonts w:ascii="Times New Roman" w:hAnsi="Times New Roman" w:cs="Times New Roman"/>
          <w:b w:val="0"/>
        </w:rPr>
        <w:t xml:space="preserve">, если такое требование установлено Заказчиком, в </w:t>
      </w:r>
      <w:r>
        <w:rPr>
          <w:rFonts w:ascii="Times New Roman" w:hAnsi="Times New Roman" w:cs="Times New Roman"/>
          <w:b w:val="0"/>
        </w:rPr>
        <w:t xml:space="preserve">пункте </w:t>
      </w:r>
      <w:hyperlink w:tooltip="#_Единые_требования_к" w:anchor="_Единые_требования_к" w:history="1">
        <w:r>
          <w:rPr>
            <w:rStyle w:val="1218"/>
            <w:rFonts w:ascii="Times New Roman" w:hAnsi="Times New Roman" w:cs="Times New Roman"/>
            <w:b w:val="0"/>
            <w:bCs w:val="0"/>
          </w:rPr>
          <w:t xml:space="preserve">14 части II «ИНФОРМАЦИОННАЯ КАРТА ЗАКУПКИ»</w:t>
        </w:r>
      </w:hyperlink>
      <w:r>
        <w:rPr>
          <w:rFonts w:ascii="Times New Roman" w:hAnsi="Times New Roman" w:cs="Times New Roman"/>
          <w:b w:val="0"/>
        </w:rPr>
        <w:t xml:space="preserve">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115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В случае </w:t>
      </w:r>
      <w:r>
        <w:rPr>
          <w:rFonts w:ascii="Times New Roman" w:hAnsi="Times New Roman" w:cs="Times New Roman"/>
          <w:b w:val="0"/>
        </w:rPr>
        <w:t xml:space="preserve">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настоящей документации о закупке в части требований, не подлежащи</w:t>
      </w:r>
      <w:r>
        <w:rPr>
          <w:rFonts w:ascii="Times New Roman" w:hAnsi="Times New Roman" w:cs="Times New Roman"/>
          <w:b w:val="0"/>
        </w:rPr>
        <w:t xml:space="preserve">х</w:t>
      </w:r>
      <w:r>
        <w:rPr>
          <w:rFonts w:ascii="Times New Roman" w:hAnsi="Times New Roman" w:cs="Times New Roman"/>
          <w:b w:val="0"/>
        </w:rPr>
        <w:t xml:space="preserve"> суммированию (наличию гражданской правоспособности в полном объеме, не нахождения в процессе ликвидации, отсутствия в реестр</w:t>
      </w:r>
      <w:r>
        <w:rPr>
          <w:rFonts w:ascii="Times New Roman" w:hAnsi="Times New Roman" w:cs="Times New Roman"/>
          <w:b w:val="0"/>
        </w:rPr>
        <w:t xml:space="preserve">е недобросовестных поставщиков </w:t>
      </w:r>
      <w:r>
        <w:rPr>
          <w:rFonts w:ascii="Times New Roman" w:hAnsi="Times New Roman" w:cs="Times New Roman"/>
          <w:b w:val="0"/>
        </w:rPr>
        <w:t xml:space="preserve">и т.п.). При установлении требований по количественным параметрам </w:t>
      </w:r>
      <w:r>
        <w:rPr>
          <w:rFonts w:ascii="Times New Roman" w:hAnsi="Times New Roman" w:cs="Times New Roman"/>
          <w:b w:val="0"/>
        </w:rPr>
        <w:t xml:space="preserve">деятельности коллективного участника (группы лиц), количественные параметры членов объединения суммируются в соответствии с распределением поставок, работ, услуг между членами коллективного участника. При установлении требований по наличию специальной прав</w:t>
      </w:r>
      <w:r>
        <w:rPr>
          <w:rFonts w:ascii="Times New Roman" w:hAnsi="Times New Roman" w:cs="Times New Roman"/>
          <w:b w:val="0"/>
        </w:rPr>
        <w:t xml:space="preserve">оспособности (например, наличие лицензий и иных специальных разрешительных документов) 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115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(субпоставщиков) у других участников зак</w:t>
      </w:r>
      <w:r>
        <w:rPr>
          <w:rFonts w:ascii="Times New Roman" w:hAnsi="Times New Roman" w:cs="Times New Roman"/>
          <w:b w:val="0"/>
        </w:rPr>
        <w:t xml:space="preserve">упки. В случае невыполнения этих требований заявки с участием таких лиц будут отклонены без рассмотрения по существу. Любое юридическое или индивидуальный предприниматель, не принимающее участие в данной закупке самостоятельно либо в составе коллективного </w:t>
      </w:r>
      <w:r>
        <w:rPr>
          <w:rFonts w:ascii="Times New Roman" w:hAnsi="Times New Roman" w:cs="Times New Roman"/>
          <w:b w:val="0"/>
        </w:rPr>
        <w:t xml:space="preserve">у</w:t>
      </w:r>
      <w:r>
        <w:rPr>
          <w:rFonts w:ascii="Times New Roman" w:hAnsi="Times New Roman" w:cs="Times New Roman"/>
          <w:b w:val="0"/>
        </w:rPr>
        <w:t xml:space="preserve">частника может являться субподрядчиком/соисполнителем у произвольного числа </w:t>
      </w:r>
      <w:r>
        <w:rPr>
          <w:rFonts w:ascii="Times New Roman" w:hAnsi="Times New Roman" w:cs="Times New Roman"/>
          <w:b w:val="0"/>
        </w:rPr>
        <w:t xml:space="preserve">у</w:t>
      </w:r>
      <w:r>
        <w:rPr>
          <w:rFonts w:ascii="Times New Roman" w:hAnsi="Times New Roman" w:cs="Times New Roman"/>
          <w:b w:val="0"/>
        </w:rPr>
        <w:t xml:space="preserve">частников закупки.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115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26" w:name="_Ref535962934"/>
      <w:r>
        <w:rPr>
          <w:rFonts w:ascii="Times New Roman" w:hAnsi="Times New Roman" w:cs="Times New Roman"/>
          <w:b w:val="0"/>
          <w:bCs w:val="0"/>
        </w:rPr>
        <w:t xml:space="preserve">В случае закупки работ по проектиров</w:t>
      </w:r>
      <w:r>
        <w:rPr>
          <w:rFonts w:ascii="Times New Roman" w:hAnsi="Times New Roman" w:cs="Times New Roman"/>
          <w:b w:val="0"/>
          <w:bCs w:val="0"/>
        </w:rPr>
        <w:t xml:space="preserve">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Заказчик вправе в документации о закупке установить требования к у</w:t>
      </w:r>
      <w:r>
        <w:rPr>
          <w:rFonts w:ascii="Times New Roman" w:hAnsi="Times New Roman" w:cs="Times New Roman"/>
          <w:b w:val="0"/>
          <w:bCs w:val="0"/>
        </w:rPr>
        <w:t xml:space="preserve">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документов, представляемых участниками такой закупки для подтверждения их соответствия указанным требованиям. </w:t>
      </w:r>
      <w:r>
        <w:rPr>
          <w:rFonts w:ascii="Times New Roman" w:hAnsi="Times New Roman" w:cs="Times New Roman"/>
          <w:b w:val="0"/>
          <w:bCs w:val="0"/>
        </w:rPr>
        <w:t xml:space="preserve">Информация об установлении таких требований указывается в </w:t>
      </w:r>
      <w:r>
        <w:rPr>
          <w:rFonts w:ascii="Times New Roman" w:hAnsi="Times New Roman" w:cs="Times New Roman"/>
          <w:b w:val="0"/>
          <w:bCs w:val="0"/>
        </w:rPr>
        <w:t xml:space="preserve">пункте </w:t>
      </w:r>
      <w:bookmarkEnd w:id="26"/>
      <w:r>
        <w:fldChar w:fldCharType="begin"/>
      </w:r>
      <w:r>
        <w:instrText xml:space="preserve"> HYPERLINK \l "_Единые_требования_к" </w:instrText>
      </w:r>
      <w:r>
        <w:fldChar w:fldCharType="separate"/>
      </w:r>
      <w:r>
        <w:rPr>
          <w:rStyle w:val="1218"/>
          <w:rFonts w:ascii="Times New Roman" w:hAnsi="Times New Roman" w:cs="Times New Roman"/>
          <w:b w:val="0"/>
          <w:bCs w:val="0"/>
        </w:rPr>
        <w:t xml:space="preserve">14 части II «ИНФОРМАЦИОННАЯ КАРТА ЗАКУПКИ»</w:t>
      </w:r>
      <w:r>
        <w:rPr>
          <w:rStyle w:val="1218"/>
          <w:rFonts w:ascii="Times New Roman" w:hAnsi="Times New Roman" w:cs="Times New Roman"/>
          <w:b w:val="0"/>
          <w:bCs w:val="0"/>
        </w:rPr>
        <w:fldChar w:fldCharType="end"/>
      </w:r>
      <w:r>
        <w:rPr>
          <w:rFonts w:ascii="Times New Roman" w:hAnsi="Times New Roman" w:cs="Times New Roman"/>
          <w:b w:val="0"/>
          <w:bCs w:val="0"/>
        </w:rPr>
        <w:t xml:space="preserve">, </w:t>
      </w:r>
      <w:hyperlink w:tooltip="#_Требования,_установленные_в" w:anchor="_Требования,_установленные_в" w:history="1">
        <w:r>
          <w:rPr>
            <w:rStyle w:val="1218"/>
            <w:rFonts w:ascii="Times New Roman" w:hAnsi="Times New Roman" w:cs="Times New Roman"/>
            <w:b w:val="0"/>
            <w:bCs w:val="0"/>
          </w:rPr>
          <w:t xml:space="preserve">1</w:t>
        </w:r>
        <w:r>
          <w:rPr>
            <w:rStyle w:val="1218"/>
            <w:rFonts w:ascii="Times New Roman" w:hAnsi="Times New Roman" w:cs="Times New Roman"/>
            <w:b w:val="0"/>
            <w:bCs w:val="0"/>
          </w:rPr>
          <w:t xml:space="preserve">5</w:t>
        </w:r>
        <w:r>
          <w:rPr>
            <w:rStyle w:val="1218"/>
            <w:rFonts w:ascii="Times New Roman" w:hAnsi="Times New Roman" w:cs="Times New Roman"/>
            <w:b w:val="0"/>
            <w:bCs w:val="0"/>
          </w:rPr>
          <w:t xml:space="preserve"> части II «ИНФОРМАЦИОННАЯ КАРТА ЗАКУПКИ»</w:t>
        </w:r>
      </w:hyperlink>
      <w:r>
        <w:rPr>
          <w:rFonts w:ascii="Times New Roman" w:hAnsi="Times New Roman" w:cs="Times New Roman"/>
          <w:b w:val="0"/>
          <w:bCs w:val="0"/>
        </w:rPr>
        <w:t xml:space="preserve">, </w:t>
      </w:r>
      <w:hyperlink w:tooltip="#_Квалификационные_требования_к" w:anchor="_Квалификационные_требования_к" w:history="1">
        <w:r>
          <w:rPr>
            <w:rStyle w:val="1218"/>
            <w:rFonts w:ascii="Times New Roman" w:hAnsi="Times New Roman" w:cs="Times New Roman"/>
            <w:b w:val="0"/>
            <w:bCs w:val="0"/>
          </w:rPr>
          <w:t xml:space="preserve">16</w:t>
        </w:r>
        <w:r>
          <w:rPr>
            <w:rStyle w:val="1218"/>
            <w:rFonts w:ascii="Times New Roman" w:hAnsi="Times New Roman" w:cs="Times New Roman"/>
            <w:b w:val="0"/>
            <w:bCs w:val="0"/>
          </w:rPr>
          <w:t xml:space="preserve"> части II «ИНФОРМАЦИОННАЯ КАРТА ЗАКУПКИ»</w:t>
        </w:r>
      </w:hyperlink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49"/>
        <w:numPr>
          <w:ilvl w:val="1"/>
          <w:numId w:val="1"/>
        </w:numPr>
        <w:ind w:left="0" w:firstLine="567"/>
        <w:jc w:val="both"/>
        <w:keepNext w:val="0"/>
        <w:spacing w:after="0"/>
        <w:tabs>
          <w:tab w:val="left" w:pos="1276" w:leader="none"/>
        </w:tabs>
        <w:rPr>
          <w:sz w:val="24"/>
          <w:szCs w:val="24"/>
        </w:rPr>
      </w:pPr>
      <w:r/>
      <w:bookmarkStart w:id="322" w:name="_Toc7"/>
      <w:r>
        <w:rPr>
          <w:sz w:val="24"/>
          <w:szCs w:val="24"/>
        </w:rPr>
        <w:t xml:space="preserve">Привлечение соисполнителей (субподрядчиков) к исполнению договора</w:t>
      </w:r>
      <w:r>
        <w:rPr>
          <w:sz w:val="24"/>
          <w:szCs w:val="24"/>
        </w:rPr>
      </w:r>
      <w:bookmarkEnd w:id="322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5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это допускается положениями </w:t>
      </w:r>
      <w:hyperlink r:id="rId20" w:tooltip="http://www.consultant.ru/document/cons_doc_LAW_5142/" w:history="1">
        <w:r>
          <w:rPr>
            <w:rStyle w:val="1218"/>
            <w:rFonts w:ascii="Times New Roman" w:hAnsi="Times New Roman" w:cs="Times New Roman"/>
            <w:b w:val="0"/>
            <w:bCs w:val="0"/>
          </w:rPr>
          <w:t xml:space="preserve">Гражданского кодекса Российской Федерации</w:t>
        </w:r>
      </w:hyperlink>
      <w:r>
        <w:rPr>
          <w:rFonts w:ascii="Times New Roman" w:hAnsi="Times New Roman" w:cs="Times New Roman"/>
          <w:b w:val="0"/>
          <w:bCs w:val="0"/>
        </w:rPr>
        <w:t xml:space="preserve"> для соответствующего предмету договора виду гражданско-правового договора</w:t>
      </w:r>
      <w:bookmarkStart w:id="29" w:name="_Ref354131841"/>
      <w:r/>
      <w:bookmarkStart w:id="30" w:name="_Ref11495519"/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49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323" w:name="_Toc8"/>
      <w:r/>
      <w:bookmarkEnd w:id="29"/>
      <w:r>
        <w:rPr>
          <w:sz w:val="24"/>
          <w:szCs w:val="24"/>
        </w:rPr>
        <w:t xml:space="preserve">Расходы на участие в </w:t>
      </w:r>
      <w:r>
        <w:rPr>
          <w:sz w:val="24"/>
          <w:szCs w:val="24"/>
        </w:rPr>
        <w:t xml:space="preserve">закупке</w:t>
      </w:r>
      <w:r>
        <w:rPr>
          <w:sz w:val="24"/>
          <w:szCs w:val="24"/>
        </w:rPr>
        <w:t xml:space="preserve"> и при заключении договора</w:t>
      </w:r>
      <w:r>
        <w:rPr>
          <w:sz w:val="24"/>
          <w:szCs w:val="24"/>
        </w:rPr>
      </w:r>
      <w:bookmarkEnd w:id="323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50"/>
        <w:numPr>
          <w:ilvl w:val="2"/>
          <w:numId w:val="1"/>
        </w:numPr>
        <w:ind w:left="0" w:firstLine="567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</w:t>
      </w:r>
      <w:r>
        <w:rPr>
          <w:rFonts w:ascii="Times New Roman" w:hAnsi="Times New Roman" w:cs="Times New Roman"/>
          <w:b w:val="0"/>
        </w:rPr>
        <w:t xml:space="preserve">закупки </w:t>
      </w:r>
      <w:r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>
        <w:rPr>
          <w:rFonts w:ascii="Times New Roman" w:hAnsi="Times New Roman" w:cs="Times New Roman"/>
          <w:b w:val="0"/>
          <w:bCs w:val="0"/>
        </w:rPr>
        <w:t xml:space="preserve">закупке</w:t>
      </w:r>
      <w:r>
        <w:rPr>
          <w:rFonts w:ascii="Times New Roman" w:hAnsi="Times New Roman" w:cs="Times New Roman"/>
          <w:b w:val="0"/>
          <w:bCs w:val="0"/>
        </w:rPr>
        <w:t xml:space="preserve">, участием в </w:t>
      </w:r>
      <w:r>
        <w:rPr>
          <w:rFonts w:ascii="Times New Roman" w:hAnsi="Times New Roman" w:cs="Times New Roman"/>
          <w:b w:val="0"/>
          <w:bCs w:val="0"/>
        </w:rPr>
        <w:t xml:space="preserve">закупке</w:t>
      </w:r>
      <w:r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30"/>
      <w:r>
        <w:rPr>
          <w:rFonts w:ascii="Times New Roman" w:hAnsi="Times New Roman" w:cs="Times New Roman"/>
          <w:b w:val="0"/>
          <w:bCs w:val="0"/>
        </w:rPr>
        <w:t xml:space="preserve">договора, а Заказчик не имеет обязательств в связи с такими расходами, за исключением случаев, прямо предусмотренных законодательством Российской Федерации.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49"/>
        <w:numPr>
          <w:ilvl w:val="1"/>
          <w:numId w:val="1"/>
        </w:numPr>
        <w:ind w:left="0" w:firstLine="567"/>
        <w:jc w:val="both"/>
        <w:keepNext w:val="0"/>
        <w:spacing w:after="0"/>
        <w:tabs>
          <w:tab w:val="clear" w:pos="576" w:leader="none"/>
          <w:tab w:val="num" w:pos="851" w:leader="none"/>
        </w:tabs>
        <w:rPr>
          <w:sz w:val="24"/>
          <w:szCs w:val="24"/>
        </w:rPr>
      </w:pPr>
      <w:r/>
      <w:bookmarkStart w:id="324" w:name="_Toc9"/>
      <w:r/>
      <w:bookmarkEnd w:id="11"/>
      <w:r>
        <w:rPr>
          <w:sz w:val="24"/>
          <w:szCs w:val="24"/>
        </w:rPr>
        <w:t xml:space="preserve">П</w:t>
      </w:r>
      <w:r>
        <w:rPr>
          <w:sz w:val="24"/>
          <w:szCs w:val="24"/>
        </w:rPr>
        <w:t xml:space="preserve">редоставлени</w:t>
      </w:r>
      <w:r>
        <w:rPr>
          <w:sz w:val="24"/>
          <w:szCs w:val="24"/>
        </w:rPr>
        <w:t xml:space="preserve">е</w:t>
      </w:r>
      <w:r>
        <w:rPr>
          <w:sz w:val="24"/>
          <w:szCs w:val="24"/>
        </w:rPr>
        <w:t xml:space="preserve"> приоритетов </w:t>
      </w:r>
      <w:r>
        <w:rPr>
          <w:sz w:val="24"/>
          <w:szCs w:val="24"/>
        </w:rPr>
        <w:t xml:space="preserve">продукции российского происхождения, работ, услуг, выполняемых, оказываемых российскими лицами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bookmarkEnd w:id="324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50"/>
        <w:numPr>
          <w:ilvl w:val="2"/>
          <w:numId w:val="1"/>
        </w:numPr>
        <w:ind w:left="0" w:firstLine="567"/>
        <w:spacing w:before="0" w:after="0"/>
        <w:rPr>
          <w:rFonts w:ascii="Times New Roman" w:hAnsi="Times New Roman" w:cs="Times New Roman"/>
          <w:b w:val="0"/>
          <w:bCs w:val="0"/>
          <w:highlight w:val="green"/>
        </w:rPr>
      </w:pPr>
      <w:r>
        <w:rPr>
          <w:rFonts w:ascii="Times New Roman" w:hAnsi="Times New Roman" w:cs="Times New Roman"/>
          <w:b w:val="0"/>
          <w:bCs w:val="0"/>
          <w:highlight w:val="green"/>
        </w:rPr>
        <w:t xml:space="preserve">Запрет или ограничение закупки работ, услуг, соответственно выполняемых, оказываемых иностранными лицами, устанавливаются в </w:t>
      </w:r>
      <w:hyperlink w:tooltip="#_Информация_об_установлении" w:anchor="_Информация_об_установлении" w:history="1">
        <w:r>
          <w:rPr>
            <w:rStyle w:val="1218"/>
            <w:rFonts w:ascii="Times New Roman" w:hAnsi="Times New Roman" w:cs="Times New Roman"/>
            <w:b w:val="0"/>
            <w:bCs w:val="0"/>
            <w:highlight w:val="green"/>
          </w:rPr>
          <w:t xml:space="preserve">пункте 12 части II «ИНФОРМАЦИОННОЙ КАРТЫ ЗАКУПКИ»</w:t>
        </w:r>
      </w:hyperlink>
      <w:r>
        <w:rPr>
          <w:rFonts w:ascii="Times New Roman" w:hAnsi="Times New Roman" w:cs="Times New Roman"/>
          <w:b w:val="0"/>
          <w:bCs w:val="0"/>
          <w:highlight w:val="green"/>
        </w:rPr>
        <w:t xml:space="preserve"> в соответствии c требованиями </w:t>
      </w:r>
      <w:hyperlink r:id="rId21" w:tooltip="https://rosseti-sz.ru/purchase/purchasemanage/pur_docs/" w:history="1">
        <w:r>
          <w:rPr>
            <w:rStyle w:val="1218"/>
            <w:rFonts w:ascii="Times New Roman" w:hAnsi="Times New Roman" w:cs="Times New Roman"/>
            <w:b w:val="0"/>
            <w:bCs w:val="0"/>
            <w:highlight w:val="green"/>
          </w:rPr>
          <w:t xml:space="preserve">п. 4.5 Стандарта</w:t>
        </w:r>
      </w:hyperlink>
      <w:r>
        <w:rPr>
          <w:rFonts w:ascii="Times New Roman" w:hAnsi="Times New Roman" w:cs="Times New Roman"/>
          <w:b w:val="0"/>
          <w:bCs w:val="0"/>
          <w:highlight w:val="green"/>
        </w:rPr>
        <w:t xml:space="preserve"> и </w:t>
      </w:r>
      <w:hyperlink r:id="rId22" w:tooltip="https://www.consultant.ru/document/cons_doc_LAW_494318/92d969e26a4326c5d02fa79b8f9cf4994ee5633b/" w:history="1">
        <w:r>
          <w:rPr>
            <w:rStyle w:val="1218"/>
            <w:rFonts w:ascii="Times New Roman" w:hAnsi="Times New Roman" w:cs="Times New Roman"/>
            <w:b w:val="0"/>
            <w:bCs w:val="0"/>
            <w:highlight w:val="green"/>
          </w:rPr>
          <w:t xml:space="preserve">постановления Правительства РФ от 23.12.2024 № 1875 «О мерах по предоста</w:t>
        </w:r>
        <w:r>
          <w:rPr>
            <w:rStyle w:val="1218"/>
            <w:rFonts w:ascii="Times New Roman" w:hAnsi="Times New Roman" w:cs="Times New Roman"/>
            <w:b w:val="0"/>
            <w:bCs w:val="0"/>
            <w:highlight w:val="green"/>
          </w:rPr>
          <w:t xml:space="preserve">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 (далее – постановления Правительства РФ от 23.12.2024 № 1875)</w:t>
        </w:r>
      </w:hyperlink>
      <w:r>
        <w:rPr>
          <w:rFonts w:ascii="Times New Roman" w:hAnsi="Times New Roman" w:cs="Times New Roman"/>
          <w:b w:val="0"/>
          <w:bCs w:val="0"/>
          <w:highlight w:val="green"/>
        </w:rPr>
        <w:t xml:space="preserve">.</w:t>
      </w:r>
      <w:r>
        <w:rPr>
          <w:rFonts w:ascii="Times New Roman" w:hAnsi="Times New Roman" w:cs="Times New Roman"/>
          <w:b w:val="0"/>
          <w:bCs w:val="0"/>
          <w:highlight w:val="green"/>
        </w:rPr>
      </w:r>
      <w:r>
        <w:rPr>
          <w:rFonts w:ascii="Times New Roman" w:hAnsi="Times New Roman" w:cs="Times New Roman"/>
          <w:b w:val="0"/>
          <w:bCs w:val="0"/>
          <w:highlight w:val="green"/>
        </w:rPr>
      </w:r>
    </w:p>
    <w:p>
      <w:pPr>
        <w:pStyle w:val="1149"/>
        <w:numPr>
          <w:ilvl w:val="1"/>
          <w:numId w:val="1"/>
        </w:numPr>
        <w:ind w:left="0" w:firstLine="567"/>
        <w:jc w:val="left"/>
        <w:keepNext w:val="0"/>
        <w:spacing w:after="0"/>
        <w:rPr>
          <w:sz w:val="24"/>
          <w:szCs w:val="24"/>
        </w:rPr>
      </w:pPr>
      <w:r/>
      <w:bookmarkStart w:id="325" w:name="_Toc10"/>
      <w:r>
        <w:rPr>
          <w:sz w:val="24"/>
          <w:szCs w:val="24"/>
        </w:rPr>
        <w:t xml:space="preserve">Антимонопольная оговорка</w:t>
      </w:r>
      <w:r>
        <w:rPr>
          <w:sz w:val="24"/>
          <w:szCs w:val="24"/>
        </w:rPr>
      </w:r>
      <w:bookmarkEnd w:id="325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567"/>
        <w:spacing w:after="0"/>
        <w:widowControl w:val="off"/>
      </w:pPr>
      <w:r>
        <w:t xml:space="preserve">1.8.1.</w:t>
      </w:r>
      <w:r>
        <w:tab/>
        <w:t xml:space="preserve">Участник может ознакомиться с Политикой антимонопольного комплаенса ПАО «Россети Северо-Запад», п</w:t>
      </w:r>
      <w:r>
        <w:t xml:space="preserve">редставленной в разделе «Политика антимонопольного комплаенса» на официальном сайте ПАО «Россети Северо-Запад» по адресу в сети Интернет https://rosseti-sz.ru/about/charterinternaldocuments/unitypolicy-p/antitrustpolicy/ (далее – Антимонопольная политика).</w:t>
      </w:r>
      <w:r/>
    </w:p>
    <w:p>
      <w:pPr>
        <w:ind w:firstLine="567"/>
        <w:spacing w:after="0"/>
        <w:widowControl w:val="off"/>
      </w:pPr>
      <w:r>
        <w:t xml:space="preserve">1.8.2.</w:t>
      </w:r>
      <w:r>
        <w:tab/>
        <w:t xml:space="preserve">Участник при принятии участия в настоящей закупочной процедуре, его работники, представители, учитывают требования действующего Федерального закона от 26.07.2006 № 135-ФЗ «О защите конкуренции»</w:t>
      </w:r>
      <w:r>
        <w:t xml:space="preserve">, а также иных федеральных законов, нормативных правовых актов, регулирующих отношения, связанные с защитой конкуренции, предупреждением и пресечением монополистической деятельности и недобросовестной конкуренции (далее- Антимонопольное законодательство), </w:t>
      </w:r>
      <w:r>
        <w:t xml:space="preserve">Федерального закона от 18.07.2011 № 223-ФЗ «О закупках товаров, работ, услуг отдельными видами юридических лиц»,</w:t>
      </w:r>
      <w:r>
        <w:t xml:space="preserve"> неукоснительно ими руководствуются и осознают серьезность последствий, к которым может привести их несоблюдение.</w:t>
      </w:r>
      <w:r/>
    </w:p>
    <w:p>
      <w:pPr>
        <w:ind w:firstLine="567"/>
        <w:spacing w:after="0"/>
        <w:widowControl w:val="off"/>
      </w:pPr>
      <w:r>
        <w:t xml:space="preserve">1.8.3.</w:t>
      </w:r>
      <w:r>
        <w:tab/>
        <w:t xml:space="preserve">В случае возникновения у Участника подоз</w:t>
      </w:r>
      <w:r>
        <w:t xml:space="preserve">рений, что произошло или может произойти нарушение каких-либо положений Антимонопольного законодательства, либо Закона 223-ФЗ, он обязуется уведомить об этом Организатора закупки в письменной форме. В письменном уведомлении Сторона обязана сослаться на фак</w:t>
      </w:r>
      <w:r>
        <w:t xml:space="preserve">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Антимонопольного законодательства со стороны Организатора закупки, его аффилированных лиц, работник</w:t>
      </w:r>
      <w:r>
        <w:t xml:space="preserve">ов или посредников</w:t>
      </w:r>
      <w:r>
        <w:t xml:space="preserve">.</w:t>
      </w:r>
      <w:r/>
    </w:p>
    <w:p>
      <w:pPr>
        <w:pStyle w:val="1150"/>
        <w:ind w:left="0" w:firstLine="567"/>
        <w:keepNext w:val="0"/>
        <w:spacing w:before="0" w:after="0"/>
        <w:widowControl w:val="off"/>
        <w:tabs>
          <w:tab w:val="clear" w:pos="312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color w:val="292d35"/>
        </w:rPr>
        <w:t xml:space="preserve">Направить уведомление ПАО «Россети Северо-Запад» можно почтой по адресу: 196247, г. Санкт-Петербург, площадь Конституции, д. 3 А, помещение 16Н</w:t>
      </w:r>
      <w:r>
        <w:t xml:space="preserve"> </w:t>
      </w:r>
      <w:r>
        <w:rPr>
          <w:rFonts w:ascii="Times New Roman" w:hAnsi="Times New Roman" w:cs="Times New Roman"/>
          <w:b w:val="0"/>
          <w:bCs w:val="0"/>
        </w:rPr>
        <w:t xml:space="preserve">или </w:t>
      </w:r>
      <w:r>
        <w:rPr>
          <w:rFonts w:ascii="Times New Roman" w:hAnsi="Times New Roman" w:cs="Times New Roman"/>
          <w:b w:val="0"/>
          <w:color w:val="292d35"/>
        </w:rPr>
        <w:t xml:space="preserve">через </w:t>
      </w:r>
      <w:hyperlink r:id="rId23" w:tooltip="https://rosseti-sz.ru/about/charterinternaldocuments/unitypolicy-p/antitrustpolicy/#feedback" w:anchor="feedback" w:history="1">
        <w:r>
          <w:rPr>
            <w:rStyle w:val="1218"/>
            <w:rFonts w:ascii="Times New Roman" w:hAnsi="Times New Roman" w:cs="Times New Roman"/>
            <w:b w:val="0"/>
            <w:color w:val="21409a"/>
          </w:rPr>
          <w:t xml:space="preserve">форму обратной связи</w:t>
        </w:r>
      </w:hyperlink>
      <w:r>
        <w:rPr>
          <w:rFonts w:ascii="Times New Roman" w:hAnsi="Times New Roman" w:cs="Times New Roman"/>
          <w:b w:val="0"/>
          <w:color w:val="292d35"/>
        </w:rPr>
        <w:t xml:space="preserve"> на сайте Общества.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311"/>
        <w:ind w:left="851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pStyle w:val="1148"/>
        <w:numPr>
          <w:ilvl w:val="0"/>
          <w:numId w:val="1"/>
        </w:numPr>
        <w:ind w:left="0" w:firstLine="567"/>
        <w:jc w:val="both"/>
        <w:keepNext w:val="0"/>
        <w:spacing w:before="0" w:after="0"/>
        <w:rPr>
          <w:sz w:val="24"/>
          <w:szCs w:val="24"/>
        </w:rPr>
      </w:pPr>
      <w:r/>
      <w:bookmarkStart w:id="326" w:name="_Toc11"/>
      <w:r>
        <w:rPr>
          <w:sz w:val="24"/>
          <w:szCs w:val="24"/>
        </w:rPr>
        <w:t xml:space="preserve">ДОКУМЕНТАЦИЯ</w:t>
      </w:r>
      <w:r>
        <w:rPr>
          <w:sz w:val="24"/>
          <w:szCs w:val="24"/>
        </w:rPr>
        <w:t xml:space="preserve"> О ЗАКУПКЕ</w:t>
      </w:r>
      <w:r>
        <w:rPr>
          <w:sz w:val="24"/>
          <w:szCs w:val="24"/>
        </w:rPr>
      </w:r>
      <w:bookmarkEnd w:id="326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49"/>
        <w:numPr>
          <w:ilvl w:val="1"/>
          <w:numId w:val="1"/>
        </w:numPr>
        <w:ind w:left="0" w:firstLine="567"/>
        <w:jc w:val="left"/>
        <w:keepNext w:val="0"/>
        <w:spacing w:after="0"/>
        <w:rPr>
          <w:sz w:val="24"/>
          <w:szCs w:val="24"/>
        </w:rPr>
      </w:pPr>
      <w:r/>
      <w:bookmarkStart w:id="327" w:name="_Toc12"/>
      <w:r/>
      <w:bookmarkStart w:id="39" w:name="_Ref11225592"/>
      <w:r>
        <w:rPr>
          <w:sz w:val="24"/>
          <w:szCs w:val="24"/>
        </w:rPr>
        <w:t xml:space="preserve">Предоставление документации</w:t>
      </w:r>
      <w:bookmarkEnd w:id="39"/>
      <w:r>
        <w:rPr>
          <w:sz w:val="24"/>
          <w:szCs w:val="24"/>
        </w:rPr>
        <w:t xml:space="preserve"> о закупке</w:t>
      </w:r>
      <w:r>
        <w:rPr>
          <w:sz w:val="24"/>
          <w:szCs w:val="24"/>
        </w:rPr>
      </w:r>
      <w:bookmarkEnd w:id="327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5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44" w:name="_Ref166101804"/>
      <w:r>
        <w:rPr>
          <w:rFonts w:ascii="Times New Roman" w:hAnsi="Times New Roman" w:cs="Times New Roman"/>
          <w:b w:val="0"/>
          <w:bCs w:val="0"/>
        </w:rPr>
        <w:t xml:space="preserve">Документация о закупке </w:t>
      </w:r>
      <w:r>
        <w:rPr>
          <w:rFonts w:ascii="Times New Roman" w:hAnsi="Times New Roman" w:cs="Times New Roman"/>
          <w:b w:val="0"/>
          <w:bCs w:val="0"/>
        </w:rPr>
        <w:t xml:space="preserve">в полном объеме в электронном виде безвозмездно доступна для ознакомления на официальном сайте Единой информационной системы </w:t>
      </w:r>
      <w:hyperlink r:id="rId24" w:tooltip="https://zakupki.gov.ru/" w:history="1">
        <w:r>
          <w:rPr>
            <w:rStyle w:val="1218"/>
            <w:rFonts w:ascii="Times New Roman" w:hAnsi="Times New Roman" w:cs="Times New Roman"/>
            <w:b w:val="0"/>
            <w:bCs w:val="0"/>
          </w:rPr>
          <w:t xml:space="preserve">https://zakupki.gov.ru/</w:t>
        </w:r>
      </w:hyperlink>
      <w:r>
        <w:rPr>
          <w:rFonts w:ascii="Times New Roman" w:hAnsi="Times New Roman" w:cs="Times New Roman"/>
          <w:b w:val="0"/>
          <w:bCs w:val="0"/>
        </w:rPr>
        <w:t xml:space="preserve">, а также на сайте электронной торговой площадки (далее – ЭТП)</w:t>
      </w:r>
      <w:r>
        <w:rPr>
          <w:rFonts w:ascii="Times New Roman" w:hAnsi="Times New Roman" w:cs="Times New Roman"/>
          <w:b w:val="0"/>
          <w:bCs w:val="0"/>
        </w:rPr>
        <w:t xml:space="preserve">, указанной в </w:t>
      </w:r>
      <w:r>
        <w:rPr>
          <w:rFonts w:ascii="Times New Roman" w:hAnsi="Times New Roman" w:cs="Times New Roman"/>
          <w:b w:val="0"/>
          <w:bCs w:val="0"/>
        </w:rPr>
        <w:t xml:space="preserve"> </w:t>
      </w:r>
      <w:r>
        <w:rPr>
          <w:rFonts w:ascii="Times New Roman" w:hAnsi="Times New Roman" w:cs="Times New Roman"/>
          <w:b w:val="0"/>
          <w:bCs w:val="0"/>
        </w:rPr>
        <w:t xml:space="preserve">пункте </w:t>
      </w:r>
      <w:hyperlink w:tooltip="#_Адрес_электронной_площадки" w:anchor="_Адрес_электронной_площадки" w:history="1">
        <w:r>
          <w:rPr>
            <w:rStyle w:val="1218"/>
            <w:rFonts w:ascii="Times New Roman" w:hAnsi="Times New Roman" w:cs="Times New Roman"/>
            <w:b w:val="0"/>
            <w:bCs w:val="0"/>
          </w:rPr>
          <w:t xml:space="preserve">1</w:t>
        </w:r>
        <w:r>
          <w:rPr>
            <w:rStyle w:val="1218"/>
            <w:rFonts w:ascii="Times New Roman" w:hAnsi="Times New Roman" w:cs="Times New Roman"/>
            <w:b w:val="0"/>
            <w:bCs w:val="0"/>
          </w:rPr>
          <w:t xml:space="preserve">0</w:t>
        </w:r>
        <w:r>
          <w:rPr>
            <w:rStyle w:val="1218"/>
            <w:rFonts w:ascii="Times New Roman" w:hAnsi="Times New Roman" w:cs="Times New Roman"/>
            <w:b w:val="0"/>
            <w:bCs w:val="0"/>
          </w:rPr>
          <w:t xml:space="preserve"> части II «ИНФОРМАЦИОННАЯ КАРТА ЗАКУПКИ»</w:t>
        </w:r>
      </w:hyperlink>
      <w:r>
        <w:rPr>
          <w:rFonts w:ascii="Times New Roman" w:hAnsi="Times New Roman" w:cs="Times New Roman"/>
          <w:b w:val="0"/>
          <w:bCs w:val="0"/>
        </w:rPr>
        <w:t xml:space="preserve">.</w:t>
      </w:r>
      <w:bookmarkEnd w:id="44"/>
      <w:r>
        <w:rPr>
          <w:rFonts w:ascii="Times New Roman" w:hAnsi="Times New Roman" w:cs="Times New Roman"/>
          <w:b w:val="0"/>
          <w:bCs w:val="0"/>
        </w:rPr>
        <w:t xml:space="preserve"> Срок начала предоставления документации о закупке устанавливается Заказчиком в извещении о закупке.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49"/>
        <w:numPr>
          <w:ilvl w:val="1"/>
          <w:numId w:val="1"/>
        </w:numPr>
        <w:ind w:left="0" w:firstLine="567"/>
        <w:jc w:val="left"/>
        <w:keepNext w:val="0"/>
        <w:spacing w:after="0"/>
        <w:rPr>
          <w:sz w:val="24"/>
          <w:szCs w:val="24"/>
        </w:rPr>
      </w:pPr>
      <w:r/>
      <w:bookmarkStart w:id="328" w:name="_Toc13"/>
      <w:r>
        <w:rPr>
          <w:sz w:val="24"/>
          <w:szCs w:val="24"/>
        </w:rPr>
        <w:t xml:space="preserve">Разъяснение положений документации</w:t>
      </w:r>
      <w:r>
        <w:rPr>
          <w:sz w:val="24"/>
          <w:szCs w:val="24"/>
        </w:rPr>
        <w:t xml:space="preserve"> о закупке</w:t>
      </w:r>
      <w:r>
        <w:rPr>
          <w:sz w:val="24"/>
          <w:szCs w:val="24"/>
        </w:rPr>
      </w:r>
      <w:bookmarkEnd w:id="328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5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47" w:name="_Ref166349349"/>
      <w:r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З</w:t>
      </w:r>
      <w:r>
        <w:rPr>
          <w:rFonts w:ascii="Times New Roman" w:hAnsi="Times New Roman" w:cs="Times New Roman"/>
          <w:b w:val="0"/>
          <w:bCs w:val="0"/>
        </w:rPr>
        <w:t xml:space="preserve">аказчику запрос о даче разъяснений положений документации</w:t>
      </w:r>
      <w:r>
        <w:rPr>
          <w:rFonts w:ascii="Times New Roman" w:hAnsi="Times New Roman" w:cs="Times New Roman"/>
          <w:b w:val="0"/>
          <w:bCs w:val="0"/>
        </w:rPr>
        <w:t xml:space="preserve"> о закупке</w:t>
      </w:r>
      <w:r>
        <w:rPr>
          <w:rFonts w:ascii="Times New Roman" w:hAnsi="Times New Roman" w:cs="Times New Roman"/>
          <w:b w:val="0"/>
          <w:bCs w:val="0"/>
        </w:rPr>
        <w:t xml:space="preserve">. </w:t>
      </w:r>
      <w:r>
        <w:rPr>
          <w:rFonts w:ascii="Times New Roman" w:hAnsi="Times New Roman" w:cs="Times New Roman"/>
          <w:b w:val="0"/>
          <w:bCs w:val="0"/>
        </w:rPr>
        <w:t xml:space="preserve">Порядок </w:t>
      </w:r>
      <w:r>
        <w:rPr>
          <w:rFonts w:ascii="Times New Roman" w:hAnsi="Times New Roman" w:cs="Times New Roman"/>
          <w:b w:val="0"/>
          <w:bCs w:val="0"/>
        </w:rPr>
        <w:t xml:space="preserve">подачи запроса на разъяснения положений документации о закупке определяется </w:t>
      </w:r>
      <w:r>
        <w:rPr>
          <w:rFonts w:ascii="Times New Roman" w:hAnsi="Times New Roman" w:cs="Times New Roman"/>
          <w:b w:val="0"/>
        </w:rPr>
        <w:t xml:space="preserve">Регламентом работы ЭТП</w:t>
      </w:r>
      <w:r>
        <w:rPr>
          <w:rFonts w:ascii="Times New Roman" w:hAnsi="Times New Roman" w:cs="Times New Roman"/>
          <w:b w:val="0"/>
          <w:bCs w:val="0"/>
        </w:rPr>
        <w:t xml:space="preserve">. Дата и время окончания срока предоставления участникам закупки разъяснений</w:t>
      </w:r>
      <w:r>
        <w:rPr>
          <w:rFonts w:ascii="Times New Roman" w:hAnsi="Times New Roman" w:cs="Times New Roman"/>
          <w:b w:val="0"/>
          <w:bCs w:val="0"/>
        </w:rPr>
        <w:t xml:space="preserve"> положений документации о закупке указаны в пункте </w:t>
      </w:r>
      <w:hyperlink w:tooltip="#_Порядок,_дата_начала," w:anchor="_Порядок,_дата_начала," w:history="1">
        <w:r>
          <w:rPr>
            <w:rStyle w:val="1218"/>
            <w:rFonts w:ascii="Times New Roman" w:hAnsi="Times New Roman" w:cs="Times New Roman"/>
            <w:b w:val="0"/>
            <w:bCs w:val="0"/>
          </w:rPr>
          <w:t xml:space="preserve">9</w:t>
        </w:r>
        <w:r>
          <w:rPr>
            <w:rStyle w:val="1218"/>
            <w:rFonts w:ascii="Times New Roman" w:hAnsi="Times New Roman" w:cs="Times New Roman"/>
            <w:b w:val="0"/>
            <w:bCs w:val="0"/>
          </w:rPr>
          <w:t xml:space="preserve"> части II «ИНФОРМАЦИОННАЯ КАРТА ЗАКУПКИ»</w:t>
        </w:r>
      </w:hyperlink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5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течение трех рабочих дней с даты поступления запроса, </w:t>
      </w:r>
      <w:r>
        <w:rPr>
          <w:rFonts w:ascii="Times New Roman" w:hAnsi="Times New Roman" w:cs="Times New Roman"/>
          <w:b w:val="0"/>
          <w:bCs w:val="0"/>
        </w:rPr>
        <w:t xml:space="preserve">З</w:t>
      </w:r>
      <w:r>
        <w:rPr>
          <w:rFonts w:ascii="Times New Roman" w:hAnsi="Times New Roman" w:cs="Times New Roman"/>
          <w:b w:val="0"/>
          <w:bCs w:val="0"/>
        </w:rPr>
        <w:t xml:space="preserve">аказчик осуществляет разъяснение положений документации о закупке и размещает их в </w:t>
      </w:r>
      <w:r>
        <w:rPr>
          <w:rFonts w:ascii="Times New Roman" w:hAnsi="Times New Roman" w:cs="Times New Roman"/>
          <w:b w:val="0"/>
          <w:bCs w:val="0"/>
        </w:rPr>
        <w:t xml:space="preserve">ЕИС</w:t>
      </w:r>
      <w:r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>
        <w:rPr>
          <w:rFonts w:ascii="Times New Roman" w:hAnsi="Times New Roman" w:cs="Times New Roman"/>
          <w:b w:val="0"/>
          <w:bCs w:val="0"/>
        </w:rPr>
        <w:t xml:space="preserve">З</w:t>
      </w:r>
      <w:r>
        <w:rPr>
          <w:rFonts w:ascii="Times New Roman" w:hAnsi="Times New Roman" w:cs="Times New Roman"/>
          <w:b w:val="0"/>
          <w:bCs w:val="0"/>
        </w:rPr>
        <w:t xml:space="preserve">аказчик вправе не осуществлять такое разъяснение в случае, если указанный запрос поступил позднее чем за </w:t>
      </w:r>
      <w:r>
        <w:rPr>
          <w:rFonts w:ascii="Times New Roman" w:hAnsi="Times New Roman" w:cs="Times New Roman"/>
          <w:b w:val="0"/>
          <w:bCs w:val="0"/>
        </w:rPr>
        <w:t xml:space="preserve">3 (</w:t>
      </w:r>
      <w:r>
        <w:rPr>
          <w:rFonts w:ascii="Times New Roman" w:hAnsi="Times New Roman" w:cs="Times New Roman"/>
          <w:b w:val="0"/>
          <w:bCs w:val="0"/>
        </w:rPr>
        <w:t xml:space="preserve">три</w:t>
      </w:r>
      <w:r>
        <w:rPr>
          <w:rFonts w:ascii="Times New Roman" w:hAnsi="Times New Roman" w:cs="Times New Roman"/>
          <w:b w:val="0"/>
          <w:bCs w:val="0"/>
        </w:rPr>
        <w:t xml:space="preserve">)</w:t>
      </w:r>
      <w:r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>
        <w:rPr>
          <w:rFonts w:ascii="Times New Roman" w:hAnsi="Times New Roman" w:cs="Times New Roman"/>
          <w:b w:val="0"/>
          <w:bCs w:val="0"/>
        </w:rPr>
        <w:t xml:space="preserve">. </w:t>
      </w:r>
      <w:bookmarkEnd w:id="47"/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5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Разъяснения положений документации о закупке не должны изменять предмет закупки и существенные условия проекта договора.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49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329" w:name="_Toc14"/>
      <w:r/>
      <w:bookmarkStart w:id="48" w:name="_Ref119429410"/>
      <w:r>
        <w:rPr>
          <w:sz w:val="24"/>
          <w:szCs w:val="24"/>
        </w:rPr>
        <w:t xml:space="preserve">Внесение изменений в извещение о </w:t>
      </w:r>
      <w:bookmarkEnd w:id="48"/>
      <w:r>
        <w:rPr>
          <w:sz w:val="24"/>
          <w:szCs w:val="24"/>
        </w:rPr>
        <w:t xml:space="preserve">закупке и/или документацию о закупке</w:t>
      </w:r>
      <w:r>
        <w:rPr>
          <w:sz w:val="24"/>
          <w:szCs w:val="24"/>
        </w:rPr>
      </w:r>
      <w:bookmarkEnd w:id="329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5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>
        <w:rPr>
          <w:rFonts w:ascii="Times New Roman" w:hAnsi="Times New Roman" w:cs="Times New Roman"/>
          <w:b w:val="0"/>
          <w:bCs w:val="0"/>
        </w:rPr>
        <w:t xml:space="preserve">Заказчик</w:t>
      </w:r>
      <w:r>
        <w:rPr>
          <w:rFonts w:ascii="Times New Roman" w:hAnsi="Times New Roman" w:cs="Times New Roman"/>
          <w:b w:val="0"/>
          <w:bCs w:val="0"/>
        </w:rPr>
        <w:t xml:space="preserve"> может по любой причине внести изменения в </w:t>
      </w:r>
      <w:r>
        <w:rPr>
          <w:rFonts w:ascii="Times New Roman" w:hAnsi="Times New Roman" w:cs="Times New Roman"/>
          <w:b w:val="0"/>
          <w:bCs w:val="0"/>
        </w:rPr>
        <w:t xml:space="preserve">извещение о закупке и/или документацию о закупке.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5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</w:rPr>
        <w:t xml:space="preserve">Изменения, вносимые в извещение о закупке и/или документацию о закупке размещаются Заказчиком в ЕИС не позднее чем в течение 3 (трех) дней со дня принятия решения о внесении указанных изменений. </w:t>
      </w:r>
      <w:r>
        <w:rPr>
          <w:rFonts w:ascii="Times New Roman" w:hAnsi="Times New Roman" w:cs="Times New Roman"/>
          <w:b w:val="0"/>
          <w:bCs w:val="0"/>
        </w:rPr>
        <w:t xml:space="preserve">При этом </w:t>
      </w:r>
      <w:r>
        <w:rPr>
          <w:rFonts w:ascii="Times New Roman" w:hAnsi="Times New Roman" w:cs="Times New Roman"/>
          <w:b w:val="0"/>
        </w:rPr>
        <w:t xml:space="preserve">срок подачи заявок на участие в заку</w:t>
      </w:r>
      <w:r>
        <w:rPr>
          <w:rFonts w:ascii="Times New Roman" w:hAnsi="Times New Roman" w:cs="Times New Roman"/>
          <w:b w:val="0"/>
        </w:rPr>
        <w:t xml:space="preserve">пке должен быть продлен таким образом,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Положении о закупке.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5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Заказчик не несет ответственности в случае, если</w:t>
      </w:r>
      <w:r>
        <w:rPr>
          <w:rFonts w:ascii="Times New Roman" w:hAnsi="Times New Roman" w:cs="Times New Roman"/>
          <w:b w:val="0"/>
          <w:bCs w:val="0"/>
        </w:rPr>
        <w:t xml:space="preserve"> участник </w:t>
      </w:r>
      <w:r>
        <w:rPr>
          <w:rFonts w:ascii="Times New Roman" w:hAnsi="Times New Roman" w:cs="Times New Roman"/>
          <w:b w:val="0"/>
        </w:rPr>
        <w:t xml:space="preserve">закупки </w:t>
      </w:r>
      <w:r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>
        <w:rPr>
          <w:rFonts w:ascii="Times New Roman" w:hAnsi="Times New Roman" w:cs="Times New Roman"/>
          <w:b w:val="0"/>
          <w:bCs w:val="0"/>
        </w:rPr>
        <w:t xml:space="preserve">закупке и/или </w:t>
      </w:r>
      <w:r>
        <w:rPr>
          <w:rFonts w:ascii="Times New Roman" w:hAnsi="Times New Roman" w:cs="Times New Roman"/>
          <w:b w:val="0"/>
          <w:bCs w:val="0"/>
        </w:rPr>
        <w:t xml:space="preserve">документацию</w:t>
      </w:r>
      <w:r>
        <w:rPr>
          <w:rFonts w:ascii="Times New Roman" w:hAnsi="Times New Roman" w:cs="Times New Roman"/>
          <w:b w:val="0"/>
          <w:bCs w:val="0"/>
        </w:rPr>
        <w:t xml:space="preserve"> о закупке</w:t>
      </w:r>
      <w:r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49"/>
        <w:numPr>
          <w:ilvl w:val="1"/>
          <w:numId w:val="1"/>
        </w:numPr>
        <w:ind w:left="0" w:firstLine="567"/>
        <w:jc w:val="left"/>
        <w:spacing w:after="0"/>
        <w:rPr>
          <w:sz w:val="24"/>
          <w:szCs w:val="24"/>
        </w:rPr>
      </w:pPr>
      <w:r/>
      <w:bookmarkStart w:id="330" w:name="_Toc15"/>
      <w:r>
        <w:rPr>
          <w:sz w:val="24"/>
          <w:szCs w:val="24"/>
        </w:rPr>
        <w:t xml:space="preserve">Отмена </w:t>
      </w:r>
      <w:r>
        <w:rPr>
          <w:sz w:val="24"/>
          <w:szCs w:val="24"/>
        </w:rPr>
        <w:t xml:space="preserve">закупки</w:t>
      </w:r>
      <w:r>
        <w:rPr>
          <w:sz w:val="24"/>
          <w:szCs w:val="24"/>
        </w:rPr>
      </w:r>
      <w:bookmarkEnd w:id="330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5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53" w:name="_Ref166158219"/>
      <w:r>
        <w:rPr>
          <w:rFonts w:ascii="Times New Roman" w:hAnsi="Times New Roman" w:cs="Times New Roman"/>
          <w:b w:val="0"/>
          <w:bCs w:val="0"/>
        </w:rPr>
        <w:t xml:space="preserve">Заказчик </w:t>
      </w:r>
      <w:r>
        <w:rPr>
          <w:rFonts w:ascii="Times New Roman" w:hAnsi="Times New Roman" w:cs="Times New Roman"/>
          <w:b w:val="0"/>
          <w:bCs w:val="0"/>
        </w:rPr>
        <w:t xml:space="preserve"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bookmarkEnd w:id="53"/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5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54" w:name="_Ref166349406"/>
      <w:r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>
        <w:rPr>
          <w:rFonts w:ascii="Times New Roman" w:hAnsi="Times New Roman" w:cs="Times New Roman"/>
          <w:b w:val="0"/>
          <w:bCs w:val="0"/>
        </w:rPr>
        <w:t xml:space="preserve">Заказчиком </w:t>
      </w:r>
      <w:r>
        <w:rPr>
          <w:rFonts w:ascii="Times New Roman" w:hAnsi="Times New Roman" w:cs="Times New Roman"/>
          <w:b w:val="0"/>
          <w:bCs w:val="0"/>
        </w:rPr>
        <w:t xml:space="preserve">в </w:t>
      </w:r>
      <w:r>
        <w:rPr>
          <w:rFonts w:ascii="Times New Roman" w:hAnsi="Times New Roman" w:cs="Times New Roman"/>
          <w:b w:val="0"/>
          <w:bCs w:val="0"/>
        </w:rPr>
        <w:t xml:space="preserve">ЕИС</w:t>
      </w:r>
      <w:r>
        <w:rPr>
          <w:rFonts w:ascii="Times New Roman" w:hAnsi="Times New Roman" w:cs="Times New Roman"/>
          <w:b w:val="0"/>
          <w:bCs w:val="0"/>
        </w:rPr>
        <w:t xml:space="preserve"> в день принятия этого решения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5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>
        <w:rPr>
          <w:rFonts w:ascii="Times New Roman" w:hAnsi="Times New Roman" w:cs="Times New Roman"/>
          <w:b w:val="0"/>
          <w:bCs w:val="0"/>
        </w:rPr>
        <w:t xml:space="preserve">З</w:t>
      </w:r>
      <w:r>
        <w:rPr>
          <w:rFonts w:ascii="Times New Roman" w:hAnsi="Times New Roman" w:cs="Times New Roman"/>
          <w:b w:val="0"/>
          <w:bCs w:val="0"/>
        </w:rPr>
        <w:t xml:space="preserve">аказчик вправе отменить </w:t>
      </w:r>
      <w:r>
        <w:rPr>
          <w:rFonts w:ascii="Times New Roman" w:hAnsi="Times New Roman" w:cs="Times New Roman"/>
          <w:b w:val="0"/>
          <w:bCs w:val="0"/>
        </w:rPr>
        <w:t xml:space="preserve">закупку</w:t>
      </w:r>
      <w:r>
        <w:rPr>
          <w:rFonts w:ascii="Times New Roman" w:hAnsi="Times New Roman" w:cs="Times New Roman"/>
          <w:b w:val="0"/>
          <w:bCs w:val="0"/>
        </w:rPr>
        <w:t xml:space="preserve"> только в случае возникновения обстоятельств непреодолимой </w:t>
      </w:r>
      <w:r>
        <w:rPr>
          <w:rFonts w:ascii="Times New Roman" w:hAnsi="Times New Roman" w:cs="Times New Roman"/>
          <w:b w:val="0"/>
          <w:bCs w:val="0"/>
        </w:rPr>
        <w:t xml:space="preserve">силы в соответствии с гражданским законодательством.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r/>
      <w:r/>
    </w:p>
    <w:p>
      <w:pPr>
        <w:pStyle w:val="1148"/>
        <w:numPr>
          <w:ilvl w:val="0"/>
          <w:numId w:val="1"/>
        </w:numPr>
        <w:ind w:left="0" w:firstLine="567"/>
        <w:jc w:val="both"/>
        <w:keepNext w:val="0"/>
        <w:spacing w:before="0" w:after="0"/>
        <w:rPr>
          <w:sz w:val="24"/>
          <w:szCs w:val="24"/>
        </w:rPr>
      </w:pPr>
      <w:r/>
      <w:bookmarkStart w:id="331" w:name="_Toc16"/>
      <w:r/>
      <w:bookmarkStart w:id="55" w:name="_ТРЕБОВАНИЯ_К_СОДЕРЖАНИЮ"/>
      <w:r/>
      <w:bookmarkStart w:id="58" w:name="_Ref166159542"/>
      <w:r/>
      <w:bookmarkStart w:id="59" w:name="_Ref166159546"/>
      <w:r/>
      <w:bookmarkStart w:id="60" w:name="_Ref166250138"/>
      <w:r/>
      <w:bookmarkStart w:id="61" w:name="_Ref166250141"/>
      <w:r/>
      <w:bookmarkEnd w:id="54"/>
      <w:r/>
      <w:bookmarkEnd w:id="55"/>
      <w:r>
        <w:rPr>
          <w:sz w:val="24"/>
          <w:szCs w:val="24"/>
        </w:rPr>
        <w:t xml:space="preserve">ТРЕБОВАНИЯ К СОДЕРЖАНИЮ ЗАЯВКИ НА УЧАСТИЕ В </w:t>
      </w:r>
      <w:bookmarkEnd w:id="58"/>
      <w:r/>
      <w:bookmarkEnd w:id="59"/>
      <w:r/>
      <w:bookmarkEnd w:id="60"/>
      <w:r/>
      <w:bookmarkEnd w:id="61"/>
      <w:r>
        <w:rPr>
          <w:sz w:val="24"/>
          <w:szCs w:val="24"/>
        </w:rPr>
        <w:t xml:space="preserve">ЗАКУПКЕ</w:t>
      </w:r>
      <w:r>
        <w:rPr>
          <w:sz w:val="24"/>
          <w:szCs w:val="24"/>
        </w:rPr>
      </w:r>
      <w:bookmarkEnd w:id="331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49"/>
        <w:numPr>
          <w:ilvl w:val="1"/>
          <w:numId w:val="1"/>
        </w:numPr>
        <w:ind w:left="0" w:firstLine="567"/>
        <w:jc w:val="left"/>
        <w:spacing w:after="0"/>
        <w:rPr>
          <w:sz w:val="24"/>
          <w:szCs w:val="24"/>
        </w:rPr>
      </w:pPr>
      <w:r/>
      <w:bookmarkStart w:id="332" w:name="_Toc17"/>
      <w:r>
        <w:rPr>
          <w:sz w:val="24"/>
          <w:szCs w:val="24"/>
        </w:rPr>
        <w:t xml:space="preserve">Требования к оформлению заявки на участие в закупке</w:t>
      </w:r>
      <w:r>
        <w:rPr>
          <w:sz w:val="24"/>
          <w:szCs w:val="24"/>
        </w:rPr>
      </w:r>
      <w:bookmarkEnd w:id="332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5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64" w:name="_Ref166246797"/>
      <w:r/>
      <w:bookmarkStart w:id="65" w:name="_Ref119429784"/>
      <w:r/>
      <w:bookmarkStart w:id="66" w:name="_Ref119429817"/>
      <w:r/>
      <w:bookmarkStart w:id="67" w:name="_Ref119430333"/>
      <w:r>
        <w:rPr>
          <w:rFonts w:ascii="Times New Roman" w:hAnsi="Times New Roman" w:cs="Times New Roman"/>
          <w:b w:val="0"/>
          <w:bCs w:val="0"/>
        </w:rPr>
        <w:t xml:space="preserve">Предп</w:t>
      </w:r>
      <w:r>
        <w:rPr>
          <w:rFonts w:ascii="Times New Roman" w:hAnsi="Times New Roman" w:cs="Times New Roman"/>
          <w:b w:val="0"/>
          <w:bCs w:val="0"/>
        </w:rPr>
        <w:t xml:space="preserve">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</w:t>
      </w:r>
      <w:r>
        <w:rPr>
          <w:rFonts w:ascii="Times New Roman" w:hAnsi="Times New Roman" w:cs="Times New Roman"/>
          <w:b w:val="0"/>
          <w:bCs w:val="0"/>
        </w:rPr>
        <w:t xml:space="preserve">ии Заказчику закупки не будут приниматься на том основании, что участник закупки не понимал какие-либо вопросы. Неполное представление информации, запрашиваемой в документации о закупке, или же подача заявки, не отвечающей требованиям документации о закупк</w:t>
      </w:r>
      <w:r>
        <w:rPr>
          <w:rFonts w:ascii="Times New Roman" w:hAnsi="Times New Roman" w:cs="Times New Roman"/>
          <w:b w:val="0"/>
          <w:bCs w:val="0"/>
        </w:rPr>
        <w:t xml:space="preserve">е</w:t>
      </w:r>
      <w:r>
        <w:rPr>
          <w:rFonts w:ascii="Times New Roman" w:hAnsi="Times New Roman" w:cs="Times New Roman"/>
          <w:b w:val="0"/>
          <w:bCs w:val="0"/>
        </w:rPr>
        <w:t xml:space="preserve"> является основанием для признания заявки не соответствующей требованиям документации о закупке и отклонения участника от участия в закупке.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5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</w:t>
      </w:r>
      <w:r>
        <w:rPr>
          <w:rFonts w:ascii="Times New Roman" w:hAnsi="Times New Roman" w:cs="Times New Roman"/>
          <w:b w:val="0"/>
        </w:rPr>
        <w:t xml:space="preserve">закупки </w:t>
      </w:r>
      <w:r>
        <w:rPr>
          <w:rFonts w:ascii="Times New Roman" w:hAnsi="Times New Roman" w:cs="Times New Roman"/>
          <w:b w:val="0"/>
          <w:bCs w:val="0"/>
        </w:rPr>
        <w:t xml:space="preserve">готовит заявку на участие в закупке в соответствии с требованиями </w:t>
      </w:r>
      <w:hyperlink w:tooltip="#_ТРЕБОВАНИЯ_К_СОДЕРЖАНИЮ" w:anchor="_ТРЕБОВАНИЯ_К_СОДЕРЖАНИЮ" w:history="1">
        <w:r>
          <w:rPr>
            <w:rStyle w:val="1218"/>
            <w:rFonts w:ascii="Times New Roman" w:hAnsi="Times New Roman" w:cs="Times New Roman"/>
            <w:b w:val="0"/>
            <w:bCs w:val="0"/>
          </w:rPr>
          <w:t xml:space="preserve">раздела 3 «ТРЕБОВАНИЯ К СОДЕРЖАНИЮ ЗАЯВКИ НА УЧАСТИЕ В ЗАКУПКЕ»</w:t>
        </w:r>
        <w:r>
          <w:rPr>
            <w:rStyle w:val="1218"/>
            <w:rFonts w:ascii="Times New Roman" w:hAnsi="Times New Roman" w:cs="Times New Roman"/>
            <w:b w:val="0"/>
          </w:rPr>
          <w:t xml:space="preserve"> части </w:t>
        </w:r>
        <w:r>
          <w:rPr>
            <w:rStyle w:val="1218"/>
            <w:rFonts w:ascii="Times New Roman" w:hAnsi="Times New Roman" w:cs="Times New Roman"/>
            <w:b w:val="0"/>
            <w:lang w:val="en-US"/>
          </w:rPr>
          <w:t xml:space="preserve">I</w:t>
        </w:r>
        <w:r>
          <w:rPr>
            <w:rStyle w:val="1218"/>
            <w:rFonts w:ascii="Times New Roman" w:hAnsi="Times New Roman" w:cs="Times New Roman"/>
            <w:b w:val="0"/>
          </w:rPr>
          <w:t xml:space="preserve"> «ОБЩИЕ УСЛОВИЯ ПРОВЕДЕНИЯ ЗАКУПКИ»</w:t>
        </w:r>
      </w:hyperlink>
      <w:r>
        <w:rPr>
          <w:rFonts w:ascii="Times New Roman" w:hAnsi="Times New Roman" w:cs="Times New Roman"/>
          <w:b w:val="0"/>
        </w:rPr>
        <w:t xml:space="preserve"> </w:t>
      </w:r>
      <w:r>
        <w:rPr>
          <w:rFonts w:ascii="Times New Roman" w:hAnsi="Times New Roman" w:cs="Times New Roman"/>
          <w:b w:val="0"/>
          <w:bCs w:val="0"/>
        </w:rPr>
        <w:t xml:space="preserve">и в соответствии с формами документов, установленными частью </w:t>
      </w:r>
      <w:hyperlink w:tooltip="#_ОБРАЗЦЫ_ФОРМ_ДЛЯ" w:anchor="_ОБРАЗЦЫ_ФОРМ_ДЛЯ" w:history="1">
        <w:r>
          <w:rPr>
            <w:rStyle w:val="1218"/>
            <w:rFonts w:ascii="Times New Roman" w:hAnsi="Times New Roman" w:cs="Times New Roman"/>
            <w:b w:val="0"/>
            <w:bCs w:val="0"/>
            <w:lang w:val="en-US"/>
          </w:rPr>
          <w:t xml:space="preserve">III</w:t>
        </w:r>
        <w:r>
          <w:rPr>
            <w:rStyle w:val="1218"/>
            <w:rFonts w:ascii="Times New Roman" w:hAnsi="Times New Roman" w:cs="Times New Roman"/>
            <w:b w:val="0"/>
            <w:bCs w:val="0"/>
          </w:rPr>
          <w:t xml:space="preserve"> «ОБРАЗЦЫ ФОРМ ДЛЯ ЗАПОЛНЕНИЯ УЧАСТНИКАМИ ЗАКУПКИ»</w:t>
        </w:r>
      </w:hyperlink>
      <w:r>
        <w:rPr>
          <w:rFonts w:ascii="Times New Roman" w:hAnsi="Times New Roman" w:cs="Times New Roman"/>
          <w:b w:val="0"/>
          <w:bCs w:val="0"/>
        </w:rPr>
        <w:t xml:space="preserve">.</w:t>
      </w:r>
      <w:bookmarkEnd w:id="64"/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5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При описании </w:t>
      </w:r>
      <w:r>
        <w:rPr>
          <w:rFonts w:ascii="Times New Roman" w:hAnsi="Times New Roman" w:cs="Times New Roman"/>
          <w:b w:val="0"/>
          <w:bCs w:val="0"/>
        </w:rPr>
        <w:t xml:space="preserve">документов заявки</w:t>
      </w:r>
      <w:r>
        <w:rPr>
          <w:rFonts w:ascii="Times New Roman" w:hAnsi="Times New Roman" w:cs="Times New Roman"/>
          <w:b w:val="0"/>
          <w:bCs w:val="0"/>
        </w:rPr>
        <w:t xml:space="preserve"> участник </w:t>
      </w:r>
      <w:r>
        <w:rPr>
          <w:rFonts w:ascii="Times New Roman" w:hAnsi="Times New Roman" w:cs="Times New Roman"/>
          <w:b w:val="0"/>
        </w:rPr>
        <w:t xml:space="preserve">закупки </w:t>
      </w:r>
      <w:r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hyperlink w:tooltip="#_ТЕХНИЧЕСКАЯ_ЧАСТЬ" w:anchor="_ТЕХНИЧЕСКАЯ_ЧАСТЬ" w:history="1">
        <w:r>
          <w:rPr>
            <w:rStyle w:val="1218"/>
            <w:rFonts w:ascii="Times New Roman" w:hAnsi="Times New Roman" w:cs="Times New Roman"/>
            <w:b w:val="0"/>
            <w:bCs w:val="0"/>
            <w:lang w:val="en-US"/>
          </w:rPr>
          <w:t xml:space="preserve">V</w:t>
        </w:r>
        <w:r>
          <w:rPr>
            <w:rStyle w:val="1218"/>
            <w:rFonts w:ascii="Times New Roman" w:hAnsi="Times New Roman" w:cs="Times New Roman"/>
            <w:b w:val="0"/>
            <w:bCs w:val="0"/>
          </w:rPr>
          <w:t xml:space="preserve"> </w:t>
        </w:r>
        <w:r>
          <w:rPr>
            <w:rStyle w:val="1218"/>
            <w:rFonts w:ascii="Times New Roman" w:hAnsi="Times New Roman" w:cs="Times New Roman"/>
            <w:b w:val="0"/>
          </w:rPr>
          <w:t xml:space="preserve">«ТЕХНИЧЕСКАЯ ЧАСТЬ»</w:t>
        </w:r>
      </w:hyperlink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5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>
        <w:rPr>
          <w:rFonts w:ascii="Times New Roman" w:hAnsi="Times New Roman" w:cs="Times New Roman"/>
          <w:b w:val="0"/>
        </w:rPr>
        <w:t xml:space="preserve">закупки</w:t>
      </w:r>
      <w:r>
        <w:rPr>
          <w:rFonts w:ascii="Times New Roman" w:hAnsi="Times New Roman" w:cs="Times New Roman"/>
          <w:b w:val="0"/>
          <w:bCs w:val="0"/>
        </w:rPr>
        <w:t xml:space="preserve">, не должны допускать двусмысленных толкований.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5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69" w:name="_Ref11475563"/>
      <w:r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69"/>
      <w:r>
        <w:rPr>
          <w:rFonts w:ascii="Times New Roman" w:hAnsi="Times New Roman" w:cs="Times New Roman"/>
          <w:b w:val="0"/>
          <w:bCs w:val="0"/>
        </w:rPr>
        <w:t xml:space="preserve"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5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заверенных подписью уполномоченного лица.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5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>
        <w:rPr>
          <w:rFonts w:ascii="Times New Roman" w:hAnsi="Times New Roman" w:cs="Times New Roman"/>
          <w:b w:val="0"/>
        </w:rPr>
        <w:t xml:space="preserve">закупки </w:t>
      </w:r>
      <w:r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>
        <w:rPr>
          <w:rFonts w:ascii="Times New Roman" w:hAnsi="Times New Roman" w:cs="Times New Roman"/>
          <w:b w:val="0"/>
          <w:bCs w:val="0"/>
        </w:rPr>
        <w:t xml:space="preserve">закупке</w:t>
      </w:r>
      <w:r>
        <w:rPr>
          <w:rFonts w:ascii="Times New Roman" w:hAnsi="Times New Roman" w:cs="Times New Roman"/>
          <w:b w:val="0"/>
          <w:bCs w:val="0"/>
        </w:rPr>
        <w:t xml:space="preserve">, должны быть заполнены по всем пунктам, за исключением пунктов, носящих рекомендательный характер.</w:t>
      </w:r>
      <w:bookmarkStart w:id="70" w:name="_Ref166313158"/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5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Заказчик обеспечивает разумную конфиденциальность относительно всех полученных от участников закупк</w:t>
      </w:r>
      <w:r>
        <w:rPr>
          <w:rFonts w:ascii="Times New Roman" w:hAnsi="Times New Roman" w:cs="Times New Roman"/>
          <w:b w:val="0"/>
          <w:bCs w:val="0"/>
        </w:rPr>
        <w:t xml:space="preserve">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5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End w:id="70"/>
      <w:r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заявка участника состоит их </w:t>
      </w:r>
      <w:r>
        <w:rPr>
          <w:rFonts w:ascii="Times New Roman" w:hAnsi="Times New Roman" w:cs="Times New Roman"/>
          <w:b w:val="0"/>
          <w:bCs w:val="0"/>
        </w:rPr>
        <w:t xml:space="preserve">общей</w:t>
      </w:r>
      <w:r>
        <w:rPr>
          <w:rFonts w:ascii="Times New Roman" w:hAnsi="Times New Roman" w:cs="Times New Roman"/>
          <w:b w:val="0"/>
          <w:bCs w:val="0"/>
        </w:rPr>
        <w:t xml:space="preserve"> част</w:t>
      </w:r>
      <w:r>
        <w:rPr>
          <w:rFonts w:ascii="Times New Roman" w:hAnsi="Times New Roman" w:cs="Times New Roman"/>
          <w:b w:val="0"/>
          <w:bCs w:val="0"/>
        </w:rPr>
        <w:t xml:space="preserve">и</w:t>
      </w:r>
      <w:r>
        <w:rPr>
          <w:rFonts w:ascii="Times New Roman" w:hAnsi="Times New Roman" w:cs="Times New Roman"/>
          <w:b w:val="0"/>
          <w:bCs w:val="0"/>
        </w:rPr>
        <w:t xml:space="preserve"> и ценового предложения, при этом</w:t>
      </w:r>
      <w:r>
        <w:rPr>
          <w:rFonts w:ascii="Times New Roman" w:hAnsi="Times New Roman" w:cs="Times New Roman"/>
          <w:b w:val="0"/>
          <w:bCs w:val="0"/>
        </w:rPr>
        <w:t xml:space="preserve"> ценовое предложение в составе общей части заявки не указывается.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49"/>
        <w:numPr>
          <w:ilvl w:val="1"/>
          <w:numId w:val="1"/>
        </w:numPr>
        <w:ind w:left="0" w:firstLine="567"/>
        <w:jc w:val="left"/>
        <w:spacing w:after="0"/>
        <w:rPr>
          <w:sz w:val="24"/>
          <w:szCs w:val="24"/>
        </w:rPr>
      </w:pPr>
      <w:r/>
      <w:bookmarkStart w:id="333" w:name="_Toc18"/>
      <w:r>
        <w:rPr>
          <w:sz w:val="24"/>
          <w:szCs w:val="24"/>
        </w:rPr>
        <w:t xml:space="preserve">Язык документов, входящих в состав заявки на участие в </w:t>
      </w:r>
      <w:r>
        <w:rPr>
          <w:sz w:val="24"/>
          <w:szCs w:val="24"/>
        </w:rPr>
        <w:t xml:space="preserve">закупке</w:t>
      </w:r>
      <w:r>
        <w:rPr>
          <w:sz w:val="24"/>
          <w:szCs w:val="24"/>
        </w:rPr>
      </w:r>
      <w:bookmarkEnd w:id="333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5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Заявка на участие в закупке должна быть подготовлена на русском языке за исключением нижеследующего.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5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</w:t>
      </w:r>
      <w:r>
        <w:rPr>
          <w:rFonts w:ascii="Times New Roman" w:hAnsi="Times New Roman" w:cs="Times New Roman"/>
          <w:b w:val="0"/>
          <w:bCs w:val="0"/>
        </w:rPr>
        <w:t xml:space="preserve">что к ним приложен перевод этих документов на русский язык (в специально оговоренных случаях —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5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</w:rPr>
        <w:t xml:space="preserve">Закупочная комиссия </w:t>
      </w:r>
      <w:r>
        <w:rPr>
          <w:rFonts w:ascii="Times New Roman" w:hAnsi="Times New Roman" w:cs="Times New Roman"/>
          <w:b w:val="0"/>
        </w:rPr>
        <w:t xml:space="preserve">не</w:t>
      </w:r>
      <w:r>
        <w:rPr>
          <w:rFonts w:ascii="Times New Roman" w:hAnsi="Times New Roman" w:cs="Times New Roman"/>
          <w:b w:val="0"/>
        </w:rPr>
        <w:t xml:space="preserve"> рассматрива</w:t>
      </w:r>
      <w:r>
        <w:rPr>
          <w:rFonts w:ascii="Times New Roman" w:hAnsi="Times New Roman" w:cs="Times New Roman"/>
          <w:b w:val="0"/>
        </w:rPr>
        <w:t xml:space="preserve">ет</w:t>
      </w:r>
      <w:r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>
        <w:rPr>
          <w:rFonts w:ascii="Times New Roman" w:hAnsi="Times New Roman" w:cs="Times New Roman"/>
          <w:b w:val="0"/>
          <w:bCs w:val="0"/>
        </w:rPr>
        <w:t xml:space="preserve">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49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334" w:name="_Toc19"/>
      <w:r>
        <w:rPr>
          <w:sz w:val="24"/>
          <w:szCs w:val="24"/>
        </w:rPr>
        <w:t xml:space="preserve">Требования к валюте заявки</w:t>
      </w:r>
      <w:r>
        <w:rPr>
          <w:sz w:val="24"/>
          <w:szCs w:val="24"/>
        </w:rPr>
      </w:r>
      <w:bookmarkEnd w:id="334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5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76" w:name="_Hlt517806775"/>
      <w:r/>
      <w:bookmarkStart w:id="77" w:name="_Ref52534291"/>
      <w:r/>
      <w:bookmarkEnd w:id="76"/>
      <w:r>
        <w:rPr>
          <w:rFonts w:ascii="Times New Roman" w:hAnsi="Times New Roman" w:cs="Times New Roman"/>
          <w:b w:val="0"/>
        </w:rPr>
        <w:t xml:space="preserve">Все суммы денежных средств в документах, входящих в заявку</w:t>
      </w:r>
      <w:r>
        <w:rPr>
          <w:rFonts w:ascii="Times New Roman" w:hAnsi="Times New Roman" w:cs="Times New Roman"/>
          <w:b w:val="0"/>
        </w:rPr>
        <w:t xml:space="preserve"> участника</w:t>
      </w:r>
      <w:r>
        <w:rPr>
          <w:rFonts w:ascii="Times New Roman" w:hAnsi="Times New Roman" w:cs="Times New Roman"/>
          <w:b w:val="0"/>
        </w:rPr>
        <w:t xml:space="preserve">, должны быть выражены в российских </w:t>
      </w:r>
      <w:r>
        <w:rPr>
          <w:rFonts w:ascii="Times New Roman" w:hAnsi="Times New Roman" w:cs="Times New Roman"/>
          <w:b w:val="0"/>
        </w:rPr>
        <w:t xml:space="preserve">рублях (если иное не установлено в документации о закупке) за</w:t>
      </w:r>
      <w:r>
        <w:rPr>
          <w:rFonts w:ascii="Times New Roman" w:hAnsi="Times New Roman" w:cs="Times New Roman"/>
          <w:b w:val="0"/>
        </w:rPr>
        <w:t xml:space="preserve"> исключением нижеследующего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bookmarkEnd w:id="77"/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5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>
        <w:rPr>
          <w:rFonts w:ascii="Times New Roman" w:hAnsi="Times New Roman" w:cs="Times New Roman"/>
          <w:b w:val="0"/>
        </w:rPr>
        <w:t xml:space="preserve">у</w:t>
      </w:r>
      <w:r>
        <w:rPr>
          <w:rFonts w:ascii="Times New Roman" w:hAnsi="Times New Roman" w:cs="Times New Roman"/>
          <w:b w:val="0"/>
        </w:rPr>
        <w:t xml:space="preserve">частнику </w:t>
      </w:r>
      <w:r>
        <w:rPr>
          <w:rFonts w:ascii="Times New Roman" w:hAnsi="Times New Roman" w:cs="Times New Roman"/>
          <w:b w:val="0"/>
        </w:rPr>
        <w:t xml:space="preserve">закупки</w:t>
      </w:r>
      <w:r>
        <w:rPr>
          <w:rFonts w:ascii="Times New Roman" w:hAnsi="Times New Roman" w:cs="Times New Roman"/>
          <w:b w:val="0"/>
        </w:rPr>
        <w:t xml:space="preserve"> третьими лицами с выражением сумм денежн</w:t>
      </w:r>
      <w:r>
        <w:rPr>
          <w:rFonts w:ascii="Times New Roman" w:hAnsi="Times New Roman" w:cs="Times New Roman"/>
          <w:b w:val="0"/>
        </w:rPr>
        <w:t xml:space="preserve">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</w:t>
      </w:r>
      <w:r>
        <w:rPr>
          <w:rFonts w:ascii="Times New Roman" w:hAnsi="Times New Roman" w:cs="Times New Roman"/>
          <w:b w:val="0"/>
        </w:rPr>
        <w:t xml:space="preserve">Федерации, с указанием такового курса и даты его установления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5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</w:rPr>
        <w:t xml:space="preserve">Цена Заявки фиксируется в российских рублях (если иное не установлено в документации о закупке) и не подлежит изменению при изменении официального курса валюты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49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335" w:name="_Toc20"/>
      <w:r>
        <w:rPr>
          <w:sz w:val="24"/>
          <w:szCs w:val="24"/>
        </w:rPr>
        <w:t xml:space="preserve">Требования к составу заявки на участие в закупке</w:t>
      </w:r>
      <w:bookmarkEnd w:id="65"/>
      <w:r/>
      <w:bookmarkEnd w:id="66"/>
      <w:r/>
      <w:bookmarkEnd w:id="67"/>
      <w:r>
        <w:rPr>
          <w:sz w:val="24"/>
          <w:szCs w:val="24"/>
        </w:rPr>
      </w:r>
      <w:bookmarkEnd w:id="335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5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80" w:name="_Ref166243143"/>
      <w:r>
        <w:rPr>
          <w:rFonts w:ascii="Times New Roman" w:hAnsi="Times New Roman" w:cs="Times New Roman"/>
          <w:b w:val="0"/>
          <w:bCs w:val="0"/>
        </w:rPr>
        <w:t xml:space="preserve">Заявка участника на участие в закупке должна содержать сведения и документы, указанные в </w:t>
      </w:r>
      <w:r>
        <w:rPr>
          <w:rFonts w:ascii="Times New Roman" w:hAnsi="Times New Roman" w:cs="Times New Roman"/>
          <w:b w:val="0"/>
        </w:rPr>
        <w:t xml:space="preserve">пунктах </w:t>
      </w:r>
      <w:hyperlink w:tooltip="#_Сведения_и_документы," w:anchor="_Сведения_и_документы," w:history="1">
        <w:r>
          <w:rPr>
            <w:rStyle w:val="1218"/>
            <w:rFonts w:ascii="Times New Roman" w:hAnsi="Times New Roman" w:cs="Times New Roman"/>
            <w:b w:val="0"/>
          </w:rPr>
          <w:t xml:space="preserve">1</w:t>
        </w:r>
        <w:r>
          <w:rPr>
            <w:rStyle w:val="1218"/>
            <w:rFonts w:ascii="Times New Roman" w:hAnsi="Times New Roman" w:cs="Times New Roman"/>
            <w:b w:val="0"/>
          </w:rPr>
          <w:t xml:space="preserve">7 </w:t>
        </w:r>
        <w:r>
          <w:rPr>
            <w:rStyle w:val="1218"/>
            <w:rFonts w:ascii="Times New Roman" w:hAnsi="Times New Roman" w:cs="Times New Roman"/>
            <w:b w:val="0"/>
          </w:rPr>
          <w:t xml:space="preserve">части II «ИНФОРМАЦИОННАЯ КАРТА </w:t>
        </w:r>
        <w:r>
          <w:rPr>
            <w:rStyle w:val="1218"/>
            <w:rFonts w:ascii="Times New Roman" w:hAnsi="Times New Roman" w:cs="Times New Roman"/>
            <w:b w:val="0"/>
            <w:bCs w:val="0"/>
          </w:rPr>
          <w:t xml:space="preserve">ЗАКУПКИ</w:t>
        </w:r>
        <w:r>
          <w:rPr>
            <w:rStyle w:val="1218"/>
            <w:rFonts w:ascii="Times New Roman" w:hAnsi="Times New Roman" w:cs="Times New Roman"/>
            <w:b w:val="0"/>
          </w:rPr>
          <w:t xml:space="preserve">»</w:t>
        </w:r>
        <w:bookmarkEnd w:id="80"/>
      </w:hyperlink>
      <w:r>
        <w:rPr>
          <w:rFonts w:ascii="Times New Roman" w:hAnsi="Times New Roman" w:cs="Times New Roman"/>
          <w:b w:val="0"/>
          <w:bCs w:val="0"/>
        </w:rPr>
        <w:t xml:space="preserve">. </w:t>
      </w:r>
      <w:r>
        <w:rPr>
          <w:rFonts w:ascii="Times New Roman" w:hAnsi="Times New Roman" w:cs="Times New Roman"/>
          <w:b w:val="0"/>
        </w:rPr>
        <w:t xml:space="preserve">Заявка</w:t>
      </w:r>
      <w:r>
        <w:rPr>
          <w:rFonts w:ascii="Times New Roman" w:hAnsi="Times New Roman" w:cs="Times New Roman"/>
          <w:b w:val="0"/>
        </w:rPr>
        <w:t xml:space="preserve"> должна быть </w:t>
      </w:r>
      <w:r>
        <w:rPr>
          <w:rFonts w:ascii="Times New Roman" w:hAnsi="Times New Roman" w:cs="Times New Roman"/>
          <w:b w:val="0"/>
        </w:rPr>
        <w:t xml:space="preserve">действительна в течение срока, указанного участником закупки в письме о подаче оферты. В любом случае этот срок </w:t>
      </w:r>
      <w:r>
        <w:rPr>
          <w:rFonts w:ascii="Times New Roman" w:hAnsi="Times New Roman" w:cs="Times New Roman"/>
        </w:rPr>
        <w:t xml:space="preserve">не должен быть менее, чем </w:t>
      </w:r>
      <w:r>
        <w:rPr>
          <w:rFonts w:ascii="Times New Roman" w:hAnsi="Times New Roman" w:cs="Times New Roman"/>
        </w:rPr>
        <w:t xml:space="preserve">90</w:t>
      </w:r>
      <w:r>
        <w:rPr>
          <w:rStyle w:val="1329"/>
          <w:rFonts w:ascii="Times New Roman" w:hAnsi="Times New Roman" w:cs="Times New Roman"/>
          <w:i w:val="0"/>
          <w:shd w:val="clear" w:color="auto" w:fill="auto"/>
        </w:rPr>
        <w:t xml:space="preserve"> </w:t>
      </w:r>
      <w:r>
        <w:rPr>
          <w:rFonts w:ascii="Times New Roman" w:hAnsi="Times New Roman" w:cs="Times New Roman"/>
        </w:rPr>
        <w:t xml:space="preserve">календарных дней со дня</w:t>
      </w:r>
      <w:r>
        <w:rPr>
          <w:rFonts w:ascii="Times New Roman" w:hAnsi="Times New Roman" w:cs="Times New Roman"/>
          <w:b w:val="0"/>
        </w:rPr>
        <w:t xml:space="preserve">, следующего за днем окончания подачи заявок, указанном в пункте </w:t>
      </w:r>
      <w:hyperlink w:tooltip="#_Дата_рассмотрения_предложений" w:anchor="_Дата_рассмотрения_предложений" w:history="1">
        <w:r>
          <w:rPr>
            <w:rStyle w:val="1218"/>
            <w:rFonts w:ascii="Times New Roman" w:hAnsi="Times New Roman" w:cs="Times New Roman"/>
            <w:b w:val="0"/>
            <w:bCs w:val="0"/>
          </w:rPr>
          <w:t xml:space="preserve">9</w:t>
        </w:r>
        <w:r>
          <w:rPr>
            <w:rStyle w:val="1218"/>
            <w:rFonts w:ascii="Times New Roman" w:hAnsi="Times New Roman" w:cs="Times New Roman"/>
            <w:b w:val="0"/>
            <w:bCs w:val="0"/>
          </w:rPr>
          <w:t xml:space="preserve"> части II «ИНФОРМАЦИОННАЯ КАРТА ЗАКУПКИ»</w:t>
        </w:r>
      </w:hyperlink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5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81" w:name="_Ref166316209"/>
      <w:r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</w:t>
      </w:r>
      <w:r>
        <w:rPr>
          <w:rFonts w:ascii="Times New Roman" w:hAnsi="Times New Roman" w:cs="Times New Roman"/>
          <w:b w:val="0"/>
          <w:bCs w:val="0"/>
        </w:rPr>
        <w:t xml:space="preserve">кументов, перечисленных в пункте</w:t>
      </w:r>
      <w:r>
        <w:rPr>
          <w:rFonts w:ascii="Times New Roman" w:hAnsi="Times New Roman" w:cs="Times New Roman"/>
          <w:b w:val="0"/>
          <w:bCs w:val="0"/>
        </w:rPr>
        <w:t xml:space="preserve"> </w:t>
      </w:r>
      <w:hyperlink w:tooltip="#_Сведения_и_документы," w:anchor="_Сведения_и_документы," w:history="1">
        <w:r>
          <w:rPr>
            <w:rStyle w:val="1218"/>
            <w:rFonts w:ascii="Times New Roman" w:hAnsi="Times New Roman" w:cs="Times New Roman"/>
            <w:b w:val="0"/>
          </w:rPr>
          <w:t xml:space="preserve">1</w:t>
        </w:r>
        <w:r>
          <w:rPr>
            <w:rStyle w:val="1218"/>
            <w:rFonts w:ascii="Times New Roman" w:hAnsi="Times New Roman" w:cs="Times New Roman"/>
            <w:b w:val="0"/>
          </w:rPr>
          <w:t xml:space="preserve">7</w:t>
        </w:r>
        <w:r>
          <w:rPr>
            <w:rStyle w:val="1218"/>
            <w:rFonts w:ascii="Times New Roman" w:hAnsi="Times New Roman" w:cs="Times New Roman"/>
            <w:b w:val="0"/>
          </w:rPr>
          <w:t xml:space="preserve"> </w:t>
        </w:r>
        <w:r>
          <w:rPr>
            <w:rStyle w:val="1218"/>
            <w:rFonts w:ascii="Times New Roman" w:hAnsi="Times New Roman" w:cs="Times New Roman"/>
            <w:b w:val="0"/>
            <w:bCs w:val="0"/>
          </w:rPr>
          <w:t xml:space="preserve">части II «ИНФОРМАЦИОННАЯ КАРТА ЗАКУПКИ»</w:t>
        </w:r>
      </w:hyperlink>
      <w:r>
        <w:rPr>
          <w:rFonts w:ascii="Times New Roman" w:hAnsi="Times New Roman" w:cs="Times New Roman"/>
          <w:b w:val="0"/>
          <w:bCs w:val="0"/>
        </w:rPr>
        <w:t xml:space="preserve"> Закупочная комиссия отклоняет заявку, поданную на участие в закупке.</w:t>
      </w:r>
      <w:bookmarkEnd w:id="81"/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5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Представление документов</w:t>
      </w:r>
      <w:r>
        <w:rPr>
          <w:rFonts w:ascii="Times New Roman" w:hAnsi="Times New Roman" w:cs="Times New Roman"/>
          <w:b w:val="0"/>
          <w:bCs w:val="0"/>
        </w:rPr>
        <w:t xml:space="preserve"> с отклонением от установленных в документации о закупке форм может быть расценено Закупочной комиссией как несоответствие заявки на участие в закупке требованиям, установленным документацией о закупке.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5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Помимо сведений и документов, установленных насто</w:t>
      </w:r>
      <w:r>
        <w:rPr>
          <w:rFonts w:ascii="Times New Roman" w:hAnsi="Times New Roman" w:cs="Times New Roman"/>
          <w:b w:val="0"/>
          <w:bCs w:val="0"/>
        </w:rPr>
        <w:t xml:space="preserve">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5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82" w:name="_В_случае,_если"/>
      <w:r/>
      <w:bookmarkEnd w:id="82"/>
      <w:r>
        <w:rPr>
          <w:rFonts w:ascii="Times New Roman" w:hAnsi="Times New Roman" w:cs="Times New Roman"/>
          <w:b w:val="0"/>
          <w:bCs w:val="0"/>
        </w:rPr>
        <w:t xml:space="preserve">В случае, если в закупочной процедуре принимает участие объединение (группа лиц), выступающих на стороне одного участника закупки (далее - коллективный участник), в составе</w:t>
      </w:r>
      <w:r>
        <w:rPr>
          <w:rFonts w:ascii="Times New Roman" w:hAnsi="Times New Roman" w:cs="Times New Roman"/>
          <w:b w:val="0"/>
          <w:bCs w:val="0"/>
        </w:rPr>
        <w:t xml:space="preserve"> </w:t>
      </w:r>
      <w:r>
        <w:rPr>
          <w:rFonts w:ascii="Times New Roman" w:hAnsi="Times New Roman" w:cs="Times New Roman"/>
          <w:bCs w:val="0"/>
        </w:rPr>
        <w:t xml:space="preserve">общей</w:t>
      </w:r>
      <w:r>
        <w:rPr>
          <w:rFonts w:ascii="Times New Roman" w:hAnsi="Times New Roman" w:cs="Times New Roman"/>
          <w:bCs w:val="0"/>
        </w:rPr>
        <w:t xml:space="preserve"> части заявки</w:t>
      </w:r>
      <w:r>
        <w:rPr>
          <w:rFonts w:ascii="Times New Roman" w:hAnsi="Times New Roman" w:cs="Times New Roman"/>
          <w:b w:val="0"/>
          <w:bCs w:val="0"/>
        </w:rPr>
        <w:t xml:space="preserve"> такого участника должно быть представлено соглашение, соответствующее нормам Гражданского кодекса Российской Федерации, и отвечающее следующим требованиям: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ind w:firstLine="567"/>
        <w:spacing w:after="0"/>
        <w:rPr>
          <w:bCs/>
        </w:rPr>
      </w:pPr>
      <w:r>
        <w:rPr>
          <w:bCs/>
        </w:rPr>
        <w:t xml:space="preserve">а) в соглашении должны быть четко определены права и обязанности сторон как в рамках участия в закупочной процедуре, так и в рамках исполнения договора, заключаемого по ее результатам;</w:t>
      </w:r>
      <w:r>
        <w:rPr>
          <w:bCs/>
        </w:rPr>
      </w:r>
      <w:r>
        <w:rPr>
          <w:bCs/>
        </w:rPr>
      </w:r>
    </w:p>
    <w:p>
      <w:pPr>
        <w:ind w:firstLine="567"/>
        <w:spacing w:after="0"/>
        <w:rPr>
          <w:bCs/>
        </w:rPr>
      </w:pPr>
      <w:r>
        <w:rPr>
          <w:bCs/>
        </w:rPr>
        <w:t xml:space="preserve">б) в соглашении должно быть приведено распределение объемов, стоимости</w:t>
      </w:r>
      <w:r>
        <w:rPr>
          <w:bCs/>
        </w:rPr>
        <w:t xml:space="preserve"> (</w:t>
      </w:r>
      <w:r>
        <w:rPr>
          <w:b/>
          <w:bCs/>
        </w:rPr>
        <w:t xml:space="preserve">в процентах</w:t>
      </w:r>
      <w:r>
        <w:rPr>
          <w:bCs/>
        </w:rPr>
        <w:t xml:space="preserve">)</w:t>
      </w:r>
      <w:r>
        <w:rPr>
          <w:bCs/>
        </w:rPr>
        <w:t xml:space="preserve"> и сроков выполнения работ/</w:t>
      </w:r>
      <w:r>
        <w:rPr>
          <w:bCs/>
        </w:rPr>
        <w:t xml:space="preserve">оказания </w:t>
      </w:r>
      <w:r>
        <w:rPr>
          <w:bCs/>
        </w:rPr>
        <w:t xml:space="preserve">услуг/поставок</w:t>
      </w:r>
      <w:r>
        <w:rPr>
          <w:bCs/>
        </w:rPr>
        <w:t xml:space="preserve"> товаров</w:t>
      </w:r>
      <w:r>
        <w:rPr>
          <w:bCs/>
        </w:rPr>
        <w:t xml:space="preserve"> между членами коллективного участника;</w:t>
      </w:r>
      <w:r>
        <w:rPr>
          <w:bCs/>
        </w:rPr>
      </w:r>
      <w:r>
        <w:rPr>
          <w:bCs/>
        </w:rPr>
      </w:r>
    </w:p>
    <w:p>
      <w:pPr>
        <w:ind w:firstLine="567"/>
        <w:spacing w:after="0"/>
        <w:rPr>
          <w:bCs/>
        </w:rPr>
      </w:pPr>
      <w:r>
        <w:rPr>
          <w:bCs/>
        </w:rPr>
        <w:t xml:space="preserve">в) в соглашении должен быть определен лидер </w:t>
      </w:r>
      <w:r>
        <w:rPr>
          <w:bCs/>
        </w:rPr>
        <w:t xml:space="preserve">к</w:t>
      </w:r>
      <w:r>
        <w:rPr>
          <w:bCs/>
        </w:rPr>
        <w:t xml:space="preserve">оллективного участника, который в дальнейшем представляет интересы каждого члена коллективного участника во взаимоотношениях с заказчиком;</w:t>
      </w:r>
      <w:r>
        <w:rPr>
          <w:bCs/>
        </w:rPr>
      </w:r>
      <w:r>
        <w:rPr>
          <w:bCs/>
        </w:rPr>
      </w:r>
    </w:p>
    <w:p>
      <w:pPr>
        <w:ind w:firstLine="567"/>
        <w:spacing w:after="0"/>
        <w:rPr>
          <w:bCs/>
        </w:rPr>
      </w:pPr>
      <w:r>
        <w:rPr>
          <w:bCs/>
        </w:rPr>
        <w:t xml:space="preserve">г)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закупочной процедуре, и солидарная ответственность за своевременное и полное исполнение договора;</w:t>
      </w:r>
      <w:r>
        <w:rPr>
          <w:bCs/>
        </w:rPr>
      </w:r>
      <w:r>
        <w:rPr>
          <w:bCs/>
        </w:rPr>
      </w:r>
    </w:p>
    <w:p>
      <w:pPr>
        <w:ind w:firstLine="567"/>
        <w:spacing w:after="0"/>
        <w:rPr>
          <w:bCs/>
        </w:rPr>
      </w:pPr>
      <w:r>
        <w:rPr>
          <w:bCs/>
        </w:rPr>
        <w:t xml:space="preserve">д)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 желанию заказчика или по его инициативе, данная схема может быть изменена;</w:t>
      </w:r>
      <w:r>
        <w:rPr>
          <w:bCs/>
        </w:rPr>
      </w:r>
      <w:r>
        <w:rPr>
          <w:bCs/>
        </w:rPr>
      </w:r>
    </w:p>
    <w:p>
      <w:pPr>
        <w:ind w:firstLine="567"/>
        <w:spacing w:after="0"/>
        <w:rPr>
          <w:bCs/>
        </w:rPr>
      </w:pPr>
      <w:r>
        <w:rPr>
          <w:bCs/>
        </w:rPr>
        <w:t xml:space="preserve">е) срок действия соглашения должен быть не менее, чем срок действия договора.</w:t>
      </w:r>
      <w:r>
        <w:rPr>
          <w:bCs/>
        </w:rPr>
      </w:r>
      <w:r>
        <w:rPr>
          <w:bCs/>
        </w:rPr>
      </w:r>
    </w:p>
    <w:p>
      <w:pPr>
        <w:pStyle w:val="115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83" w:name="_В_случае,_если_1"/>
      <w:r/>
      <w:bookmarkEnd w:id="83"/>
      <w:r>
        <w:rPr>
          <w:rFonts w:ascii="Times New Roman" w:hAnsi="Times New Roman" w:cs="Times New Roman"/>
          <w:b w:val="0"/>
          <w:bCs w:val="0"/>
        </w:rPr>
        <w:t xml:space="preserve">В случае, если в закупочной процедуре принимает участие </w:t>
      </w:r>
      <w:r>
        <w:rPr>
          <w:rFonts w:ascii="Times New Roman" w:hAnsi="Times New Roman" w:cs="Times New Roman"/>
          <w:b w:val="0"/>
          <w:bCs w:val="0"/>
        </w:rPr>
        <w:t xml:space="preserve">коллективный участник такой участник </w:t>
      </w:r>
      <w:r>
        <w:rPr>
          <w:rFonts w:ascii="Times New Roman" w:hAnsi="Times New Roman" w:cs="Times New Roman"/>
          <w:b w:val="0"/>
          <w:bCs w:val="0"/>
        </w:rPr>
        <w:t xml:space="preserve">должен подготовить заявку на участие в закупке с учетом следующих дополнительных требований: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311"/>
        <w:numPr>
          <w:ilvl w:val="0"/>
          <w:numId w:val="8"/>
        </w:numPr>
        <w:ind w:left="0" w:firstLine="567"/>
        <w:jc w:val="both"/>
      </w:pPr>
      <w:r>
        <w:t xml:space="preserve">заявка должна включать документы, подтверждающие соответствие коллективного участника установленным требованиям</w:t>
      </w:r>
      <w:r>
        <w:t xml:space="preserve"> (в том числе документ, подтверждающих полномочия лица, подписавшего заявку)</w:t>
      </w:r>
      <w:r>
        <w:t xml:space="preserve">;</w:t>
      </w:r>
      <w:r/>
    </w:p>
    <w:p>
      <w:pPr>
        <w:pStyle w:val="1311"/>
        <w:numPr>
          <w:ilvl w:val="0"/>
          <w:numId w:val="8"/>
        </w:numPr>
        <w:ind w:left="0" w:firstLine="567"/>
        <w:jc w:val="both"/>
        <w:rPr>
          <w:rStyle w:val="1218"/>
          <w:bCs/>
        </w:rPr>
      </w:pPr>
      <w:r>
        <w:t xml:space="preserve">в отношении каждого из членов коллективного участника предоставляются документы и сведения, предусмотренные </w:t>
      </w:r>
      <w:r>
        <w:rPr>
          <w:rStyle w:val="1218"/>
          <w:bCs/>
        </w:rPr>
        <w:t xml:space="preserve">пунктом </w:t>
      </w:r>
      <w:hyperlink w:tooltip="#_Сведения_и_документы," w:anchor="_Сведения_и_документы," w:history="1">
        <w:r>
          <w:rPr>
            <w:rStyle w:val="1218"/>
            <w:bCs/>
          </w:rPr>
          <w:t xml:space="preserve">17 части II «ИНФОРМАЦИОННАЯ КАРТА ЗАКУПКИ»</w:t>
        </w:r>
      </w:hyperlink>
      <w:r>
        <w:rPr>
          <w:rStyle w:val="1218"/>
          <w:bCs/>
        </w:rPr>
        <w:t xml:space="preserve">;</w:t>
      </w:r>
      <w:r>
        <w:rPr>
          <w:rStyle w:val="1218"/>
          <w:bCs/>
        </w:rPr>
      </w:r>
      <w:r>
        <w:rPr>
          <w:rStyle w:val="1218"/>
          <w:bCs/>
        </w:rPr>
      </w:r>
    </w:p>
    <w:p>
      <w:pPr>
        <w:pStyle w:val="1311"/>
        <w:numPr>
          <w:ilvl w:val="0"/>
          <w:numId w:val="8"/>
        </w:numPr>
        <w:ind w:left="0" w:firstLine="567"/>
        <w:jc w:val="both"/>
      </w:pPr>
      <w:r>
        <w:t xml:space="preserve">заявка подготавливается и подается лидером от своего имени со ссылкой на то, что он </w:t>
      </w:r>
      <w:r>
        <w:t xml:space="preserve">представляет интересы коллективного участника;</w:t>
      </w:r>
      <w:r/>
    </w:p>
    <w:p>
      <w:pPr>
        <w:pStyle w:val="1311"/>
        <w:numPr>
          <w:ilvl w:val="0"/>
          <w:numId w:val="8"/>
        </w:numPr>
        <w:ind w:left="0" w:firstLine="567"/>
        <w:jc w:val="both"/>
      </w:pPr>
      <w:r>
        <w:t xml:space="preserve">в состав заявки дополнительно включается соглашение между членами коллективного участника.</w:t>
      </w:r>
      <w:r/>
    </w:p>
    <w:p>
      <w:pPr>
        <w:pStyle w:val="1149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336" w:name="_Toc21"/>
      <w:r>
        <w:rPr>
          <w:sz w:val="24"/>
          <w:szCs w:val="24"/>
        </w:rPr>
        <w:t xml:space="preserve">Требования к описанию </w:t>
      </w:r>
      <w:r>
        <w:rPr>
          <w:sz w:val="24"/>
          <w:szCs w:val="24"/>
        </w:rPr>
        <w:t xml:space="preserve">предложения участника </w:t>
      </w:r>
      <w:r>
        <w:rPr>
          <w:sz w:val="24"/>
          <w:szCs w:val="24"/>
        </w:rPr>
        <w:t xml:space="preserve">закупки</w:t>
      </w:r>
      <w:r>
        <w:rPr>
          <w:sz w:val="24"/>
          <w:szCs w:val="24"/>
        </w:rPr>
      </w:r>
      <w:bookmarkEnd w:id="336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5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88" w:name="_Ref166314630"/>
      <w:r/>
      <w:bookmarkStart w:id="89" w:name="_Ref11560130"/>
      <w:r>
        <w:rPr>
          <w:rFonts w:ascii="Times New Roman" w:hAnsi="Times New Roman" w:cs="Times New Roman"/>
          <w:b w:val="0"/>
          <w:bCs w:val="0"/>
        </w:rPr>
        <w:t xml:space="preserve">Цена договора, предлагаемая участником закупки</w:t>
      </w:r>
      <w:r>
        <w:rPr>
          <w:rFonts w:ascii="Times New Roman" w:hAnsi="Times New Roman" w:cs="Times New Roman"/>
          <w:b w:val="0"/>
        </w:rPr>
        <w:t xml:space="preserve">(либо цена за единицу товара (работы, </w:t>
      </w:r>
      <w:r>
        <w:rPr>
          <w:rFonts w:ascii="Times New Roman" w:hAnsi="Times New Roman" w:cs="Times New Roman"/>
          <w:b w:val="0"/>
          <w:bCs w:val="0"/>
        </w:rPr>
        <w:t xml:space="preserve">услуги</w:t>
      </w:r>
      <w:r>
        <w:rPr>
          <w:rFonts w:ascii="Times New Roman" w:hAnsi="Times New Roman" w:cs="Times New Roman"/>
          <w:b w:val="0"/>
        </w:rPr>
        <w:t xml:space="preserve">), </w:t>
      </w:r>
      <w:r>
        <w:rPr>
          <w:rFonts w:ascii="Times New Roman" w:hAnsi="Times New Roman" w:cs="Times New Roman"/>
          <w:b w:val="0"/>
          <w:bCs w:val="0"/>
        </w:rPr>
        <w:t xml:space="preserve">предлагаемая участником закупки</w:t>
      </w:r>
      <w:r>
        <w:rPr>
          <w:rFonts w:ascii="Times New Roman" w:hAnsi="Times New Roman" w:cs="Times New Roman"/>
          <w:b w:val="0"/>
        </w:rPr>
        <w:t xml:space="preserve">)</w:t>
      </w:r>
      <w:r>
        <w:rPr>
          <w:rFonts w:ascii="Times New Roman" w:hAnsi="Times New Roman" w:cs="Times New Roman"/>
          <w:b w:val="0"/>
          <w:bCs w:val="0"/>
        </w:rPr>
        <w:t xml:space="preserve"> не может превышать начальную (максимальную) цену договора (цену лота), указанную в извещении </w:t>
      </w:r>
      <w:r>
        <w:rPr>
          <w:rFonts w:ascii="Times New Roman" w:hAnsi="Times New Roman" w:cs="Times New Roman"/>
          <w:b w:val="0"/>
          <w:bCs w:val="0"/>
        </w:rPr>
        <w:t xml:space="preserve">закупке</w:t>
      </w:r>
      <w:r>
        <w:rPr>
          <w:rFonts w:ascii="Times New Roman" w:hAnsi="Times New Roman" w:cs="Times New Roman"/>
          <w:b w:val="0"/>
          <w:bCs w:val="0"/>
        </w:rPr>
        <w:t xml:space="preserve"> и в </w:t>
      </w:r>
      <w:hyperlink w:tooltip="#_Сведения_о_начальной" w:anchor="_Сведения_о_начальной" w:history="1">
        <w:r>
          <w:rPr>
            <w:rStyle w:val="1218"/>
            <w:rFonts w:ascii="Times New Roman" w:hAnsi="Times New Roman" w:cs="Times New Roman"/>
            <w:b w:val="0"/>
            <w:bCs w:val="0"/>
          </w:rPr>
          <w:t xml:space="preserve">пункте </w:t>
        </w:r>
        <w:r>
          <w:rPr>
            <w:rStyle w:val="1218"/>
            <w:rFonts w:ascii="Times New Roman" w:hAnsi="Times New Roman" w:cs="Times New Roman"/>
            <w:b w:val="0"/>
            <w:bCs w:val="0"/>
          </w:rPr>
          <w:t xml:space="preserve">7</w:t>
        </w:r>
        <w:r>
          <w:rPr>
            <w:rStyle w:val="1218"/>
            <w:rFonts w:ascii="Times New Roman" w:hAnsi="Times New Roman" w:cs="Times New Roman"/>
            <w:b w:val="0"/>
            <w:bCs w:val="0"/>
          </w:rPr>
          <w:t xml:space="preserve"> части II «ИНФОРМАЦИОННАЯ КАРТА ЗАКУПКИ»</w:t>
        </w:r>
      </w:hyperlink>
      <w:r/>
      <w:bookmarkEnd w:id="88"/>
      <w:r>
        <w:rPr>
          <w:rStyle w:val="1160"/>
          <w:b/>
          <w:bCs/>
        </w:rPr>
        <w:t xml:space="preserve"> </w:t>
      </w:r>
      <w:r>
        <w:rPr>
          <w:rStyle w:val="1218"/>
          <w:rFonts w:ascii="Times New Roman" w:hAnsi="Times New Roman" w:cs="Times New Roman"/>
          <w:b w:val="0"/>
          <w:bCs w:val="0"/>
          <w:color w:val="auto"/>
          <w:u w:val="none"/>
        </w:rPr>
        <w:t xml:space="preserve">документации о закупке</w:t>
      </w:r>
      <w:r>
        <w:rPr>
          <w:rFonts w:ascii="Times New Roman" w:hAnsi="Times New Roman" w:cs="Times New Roman"/>
          <w:b w:val="0"/>
          <w:bCs w:val="0"/>
        </w:rPr>
        <w:t xml:space="preserve">, </w:t>
      </w:r>
      <w:r>
        <w:rPr>
          <w:rFonts w:ascii="Times New Roman" w:hAnsi="Times New Roman" w:cs="Times New Roman"/>
          <w:b w:val="0"/>
        </w:rPr>
        <w:t xml:space="preserve">(либо начальные (максимальные) единичные расценки за единицу товара (работы, услуги), указанные в </w:t>
      </w:r>
      <w:hyperlink w:tooltip="#P132" w:anchor="P132" w:history="1">
        <w:r>
          <w:rPr>
            <w:rStyle w:val="1218"/>
            <w:rFonts w:ascii="Times New Roman" w:hAnsi="Times New Roman" w:cs="Times New Roman"/>
            <w:b w:val="0"/>
          </w:rPr>
          <w:t xml:space="preserve">п. 1.3.2 части </w:t>
        </w:r>
        <w:r>
          <w:rPr>
            <w:rStyle w:val="1218"/>
            <w:rFonts w:ascii="Times New Roman" w:hAnsi="Times New Roman" w:cs="Times New Roman"/>
            <w:b w:val="0"/>
            <w:lang w:val="en-US"/>
          </w:rPr>
          <w:t xml:space="preserve">I</w:t>
        </w:r>
        <w:r>
          <w:rPr>
            <w:rStyle w:val="1218"/>
            <w:rFonts w:ascii="Times New Roman" w:hAnsi="Times New Roman" w:cs="Times New Roman"/>
            <w:b w:val="0"/>
          </w:rPr>
          <w:t xml:space="preserve"> «ОБЩИЕ УСЛОВИЯ ПРОВЕДЕНИЯ ЗАКУПКИ»</w:t>
        </w:r>
      </w:hyperlink>
      <w:r>
        <w:rPr>
          <w:rFonts w:ascii="Times New Roman" w:hAnsi="Times New Roman" w:cs="Times New Roman"/>
          <w:b w:val="0"/>
        </w:rPr>
        <w:t xml:space="preserve">)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5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</w:rPr>
        <w:t xml:space="preserve">Цена договора, предложенная участником закупки должна учитывать требования разделов, устанавливающих цену и порядок расчетов части </w:t>
      </w:r>
      <w:hyperlink w:tooltip="#_ФОРМА_15._Справка" w:anchor="_ФОРМА_15._Справка" w:history="1">
        <w:r>
          <w:rPr>
            <w:rStyle w:val="1218"/>
            <w:rFonts w:ascii="Times New Roman" w:hAnsi="Times New Roman" w:cs="Times New Roman"/>
            <w:b w:val="0"/>
            <w:lang w:val="en-US"/>
          </w:rPr>
          <w:t xml:space="preserve">IV</w:t>
        </w:r>
        <w:r>
          <w:rPr>
            <w:rStyle w:val="1218"/>
            <w:rFonts w:ascii="Times New Roman" w:hAnsi="Times New Roman" w:cs="Times New Roman"/>
            <w:b w:val="0"/>
          </w:rPr>
          <w:t xml:space="preserve"> «ПРОЕКТА ДОГОВОРА»</w:t>
        </w:r>
      </w:hyperlink>
      <w:r>
        <w:rPr>
          <w:rFonts w:ascii="Times New Roman" w:hAnsi="Times New Roman" w:cs="Times New Roman"/>
          <w:b w:val="0"/>
        </w:rPr>
        <w:t xml:space="preserve">, в том числе учитывать обязательства по уплате НДС в размере, установленном законодательством Российской Федерации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5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90" w:name="_Ref126085783"/>
      <w:r>
        <w:rPr>
          <w:rFonts w:ascii="Times New Roman" w:hAnsi="Times New Roman" w:cs="Times New Roman"/>
          <w:b w:val="0"/>
          <w:bCs w:val="0"/>
        </w:rPr>
        <w:t xml:space="preserve">В случае установления в документации о закупке единичных расценок, либо использования в рамках формирования начальной (максимальной) цены до</w:t>
      </w:r>
      <w:r>
        <w:rPr>
          <w:rFonts w:ascii="Times New Roman" w:hAnsi="Times New Roman" w:cs="Times New Roman"/>
          <w:b w:val="0"/>
          <w:bCs w:val="0"/>
        </w:rPr>
        <w:t xml:space="preserve">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</w:t>
      </w:r>
      <w:r>
        <w:rPr>
          <w:rFonts w:ascii="Times New Roman" w:hAnsi="Times New Roman" w:cs="Times New Roman"/>
          <w:b w:val="0"/>
        </w:rPr>
        <w:t xml:space="preserve"> </w:t>
      </w:r>
      <w:r>
        <w:rPr>
          <w:rFonts w:ascii="Times New Roman" w:hAnsi="Times New Roman" w:cs="Times New Roman"/>
          <w:b w:val="0"/>
        </w:rPr>
        <w:t xml:space="preserve">если иное не установлено </w:t>
      </w:r>
      <w:r>
        <w:rPr>
          <w:rFonts w:ascii="Times New Roman" w:hAnsi="Times New Roman" w:cs="Times New Roman"/>
          <w:b w:val="0"/>
          <w:bCs w:val="0"/>
        </w:rPr>
        <w:t xml:space="preserve">предложение участника не должно превышать единичные расценки либо отдельные стоимостные позиции соответственно.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311"/>
        <w:numPr>
          <w:ilvl w:val="2"/>
          <w:numId w:val="1"/>
        </w:numPr>
        <w:ind w:left="0" w:firstLine="567"/>
        <w:jc w:val="both"/>
        <w:outlineLvl w:val="2"/>
      </w:pPr>
      <w:r>
        <w:t xml:space="preserve">В случае применения в закупке единичных расценок, либо использования в рамках формирования начальной (максимальной) цены договора (цены лота) отдельных стоимостных позиций в документации о закупке может быть установлено, что при </w:t>
      </w:r>
      <w:r>
        <w:t xml:space="preserve">подаче ценовых предложений</w:t>
      </w:r>
      <w:r>
        <w:t xml:space="preserve"> </w:t>
      </w:r>
      <w:r>
        <w:t xml:space="preserve">(цены предложения на переторжке (далее - дополнительных ценовых предложений)) </w:t>
      </w:r>
      <w:r>
        <w:t xml:space="preserve">путем снижения общей стоимости заявки участник не вправе превышать единичные расценки либо отдельные стоимостные позиции, первоначально представленные им в заявке</w:t>
      </w:r>
      <w:r>
        <w:t xml:space="preserve">.</w:t>
      </w:r>
      <w:r/>
    </w:p>
    <w:p>
      <w:pPr>
        <w:pStyle w:val="115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Цена договора должна </w:t>
      </w:r>
      <w:r>
        <w:rPr>
          <w:rFonts w:ascii="Times New Roman" w:hAnsi="Times New Roman" w:cs="Times New Roman"/>
          <w:b w:val="0"/>
          <w:bCs w:val="0"/>
        </w:rPr>
        <w:t xml:space="preserve">включать </w:t>
      </w:r>
      <w:r>
        <w:rPr>
          <w:rFonts w:ascii="Times New Roman" w:hAnsi="Times New Roman" w:eastAsia="Calibri" w:cs="Times New Roman"/>
          <w:b w:val="0"/>
        </w:rPr>
        <w:t xml:space="preserve"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>
        <w:rPr>
          <w:rFonts w:ascii="Times New Roman" w:hAnsi="Times New Roman" w:cs="Times New Roman"/>
          <w:b w:val="0"/>
          <w:bCs w:val="0"/>
        </w:rPr>
        <w:t xml:space="preserve">, если иное не установлено документацией о закупке.</w:t>
      </w:r>
      <w:bookmarkEnd w:id="90"/>
      <w:r>
        <w:rPr>
          <w:rFonts w:ascii="Times New Roman" w:hAnsi="Times New Roman" w:cs="Times New Roman"/>
          <w:b w:val="0"/>
          <w:bCs w:val="0"/>
        </w:rPr>
        <w:t xml:space="preserve">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5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</w:t>
      </w:r>
      <w:r>
        <w:rPr>
          <w:rFonts w:ascii="Times New Roman" w:hAnsi="Times New Roman" w:cs="Times New Roman"/>
          <w:b w:val="0"/>
          <w:bCs w:val="0"/>
        </w:rPr>
        <w:t xml:space="preserve">е</w:t>
      </w:r>
      <w:r>
        <w:rPr>
          <w:rFonts w:ascii="Times New Roman" w:hAnsi="Times New Roman" w:cs="Times New Roman"/>
          <w:b w:val="0"/>
          <w:bCs w:val="0"/>
        </w:rPr>
        <w:t xml:space="preserve"> выполняемой работы, оказываемой услуги, которые являются предметом закупки, их количественных и качественных характеристик</w:t>
      </w:r>
      <w:r>
        <w:rPr>
          <w:rFonts w:ascii="Times New Roman" w:hAnsi="Times New Roman" w:cs="Times New Roman"/>
          <w:b w:val="0"/>
          <w:bCs w:val="0"/>
        </w:rPr>
        <w:t xml:space="preserve"> </w:t>
      </w:r>
      <w:r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hyperlink w:tooltip="#_ТЕХНИЧЕСКАЯ_ЧАСТЬ" w:anchor="_ТЕХНИЧЕСКАЯ_ЧАСТЬ" w:history="1">
        <w:r>
          <w:rPr>
            <w:rStyle w:val="1218"/>
            <w:rFonts w:ascii="Times New Roman" w:hAnsi="Times New Roman" w:cs="Times New Roman"/>
            <w:b w:val="0"/>
            <w:bCs w:val="0"/>
            <w:lang w:val="en-US"/>
          </w:rPr>
          <w:t xml:space="preserve">V</w:t>
        </w:r>
        <w:r>
          <w:rPr>
            <w:rStyle w:val="1218"/>
            <w:rFonts w:ascii="Times New Roman" w:hAnsi="Times New Roman" w:cs="Times New Roman"/>
            <w:b w:val="0"/>
            <w:bCs w:val="0"/>
          </w:rPr>
          <w:t xml:space="preserve"> </w:t>
        </w:r>
        <w:r>
          <w:rPr>
            <w:rStyle w:val="1218"/>
            <w:rFonts w:ascii="Times New Roman" w:hAnsi="Times New Roman" w:cs="Times New Roman"/>
            <w:b w:val="0"/>
          </w:rPr>
          <w:t xml:space="preserve">«ТЕХНИЧЕСКАЯ ЧАСТЬ»</w:t>
        </w:r>
      </w:hyperlink>
      <w:r>
        <w:rPr>
          <w:rFonts w:ascii="Times New Roman" w:hAnsi="Times New Roman" w:cs="Times New Roman"/>
          <w:b w:val="0"/>
        </w:rPr>
        <w:t xml:space="preserve"> </w:t>
      </w:r>
      <w:r>
        <w:rPr>
          <w:rFonts w:ascii="Times New Roman" w:hAnsi="Times New Roman" w:cs="Times New Roman"/>
          <w:b w:val="0"/>
          <w:bCs w:val="0"/>
        </w:rPr>
        <w:t xml:space="preserve">по форм</w:t>
      </w:r>
      <w:r>
        <w:rPr>
          <w:rFonts w:ascii="Times New Roman" w:hAnsi="Times New Roman" w:cs="Times New Roman"/>
          <w:b w:val="0"/>
          <w:bCs w:val="0"/>
        </w:rPr>
        <w:t xml:space="preserve">ам, установленным</w:t>
      </w:r>
      <w:r>
        <w:rPr>
          <w:rFonts w:ascii="Times New Roman" w:hAnsi="Times New Roman" w:cs="Times New Roman"/>
          <w:b w:val="0"/>
          <w:bCs w:val="0"/>
        </w:rPr>
        <w:t xml:space="preserve"> в части </w:t>
      </w:r>
      <w:hyperlink w:tooltip="#_РАЗДЕЛ_I_4_ОБРАЗЦЫ_ФОРМ_И_ДОКУМЕНТО" w:anchor="_РАЗДЕЛ_I_4_ОБРАЗЦЫ_ФОРМ_И_ДОКУМЕНТО" w:history="1">
        <w:r>
          <w:rPr>
            <w:rStyle w:val="1218"/>
            <w:rFonts w:ascii="Times New Roman" w:hAnsi="Times New Roman" w:cs="Times New Roman"/>
            <w:b w:val="0"/>
            <w:bCs w:val="0"/>
            <w:lang w:val="en-US"/>
          </w:rPr>
          <w:t xml:space="preserve">III</w:t>
        </w:r>
        <w:r>
          <w:rPr>
            <w:rStyle w:val="1218"/>
            <w:rFonts w:ascii="Times New Roman" w:hAnsi="Times New Roman" w:cs="Times New Roman"/>
            <w:b w:val="0"/>
            <w:bCs w:val="0"/>
          </w:rPr>
          <w:t xml:space="preserve"> «ОБРАЗЦЫ ФОРМ ДЛЯ ЗАПОЛНЕНИЯ УЧАСТНИКАМИ ЗАКУПКИ»</w:t>
        </w:r>
      </w:hyperlink>
      <w:r>
        <w:rPr>
          <w:rFonts w:ascii="Times New Roman" w:hAnsi="Times New Roman" w:cs="Times New Roman"/>
          <w:b w:val="0"/>
        </w:rPr>
        <w:t xml:space="preserve">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115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</w:t>
      </w:r>
      <w:r>
        <w:rPr>
          <w:rFonts w:ascii="Times New Roman" w:hAnsi="Times New Roman" w:cs="Times New Roman"/>
          <w:b w:val="0"/>
          <w:bCs w:val="0"/>
        </w:rPr>
        <w:t xml:space="preserve"> закупки должен</w:t>
      </w:r>
      <w:r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>
        <w:rPr>
          <w:rFonts w:ascii="Times New Roman" w:hAnsi="Times New Roman" w:cs="Times New Roman"/>
          <w:b w:val="0"/>
          <w:bCs w:val="0"/>
        </w:rPr>
        <w:t xml:space="preserve">,</w:t>
      </w:r>
      <w:r>
        <w:rPr>
          <w:rFonts w:ascii="Times New Roman" w:hAnsi="Times New Roman" w:cs="Times New Roman"/>
          <w:b w:val="0"/>
          <w:bCs w:val="0"/>
        </w:rPr>
        <w:t xml:space="preserve"> </w:t>
      </w:r>
      <w:r>
        <w:rPr>
          <w:rFonts w:ascii="Times New Roman" w:hAnsi="Times New Roman" w:cs="Times New Roman"/>
          <w:b w:val="0"/>
          <w:bCs w:val="0"/>
        </w:rPr>
        <w:t xml:space="preserve">если иное не установлено документацией о закупке </w:t>
      </w:r>
      <w:r>
        <w:rPr>
          <w:rFonts w:ascii="Times New Roman" w:hAnsi="Times New Roman" w:cs="Times New Roman"/>
          <w:b w:val="0"/>
          <w:bCs w:val="0"/>
        </w:rPr>
        <w:t xml:space="preserve">ссылки в документации </w:t>
      </w:r>
      <w:r>
        <w:rPr>
          <w:rFonts w:ascii="Times New Roman" w:hAnsi="Times New Roman" w:cs="Times New Roman"/>
          <w:b w:val="0"/>
          <w:bCs w:val="0"/>
        </w:rPr>
        <w:t xml:space="preserve">о закупке </w:t>
      </w:r>
      <w:r>
        <w:rPr>
          <w:rFonts w:ascii="Times New Roman" w:hAnsi="Times New Roman" w:cs="Times New Roman"/>
          <w:b w:val="0"/>
          <w:bCs w:val="0"/>
        </w:rPr>
        <w:t xml:space="preserve">на конкретный тип продукции, производителя, носят лишь рекомендательный, а не обязательный характер. Участник</w:t>
      </w:r>
      <w:r>
        <w:rPr>
          <w:rFonts w:ascii="Times New Roman" w:hAnsi="Times New Roman" w:cs="Times New Roman"/>
          <w:b w:val="0"/>
          <w:bCs w:val="0"/>
        </w:rPr>
        <w:t xml:space="preserve"> закупки</w:t>
      </w:r>
      <w:r>
        <w:rPr>
          <w:rFonts w:ascii="Times New Roman" w:hAnsi="Times New Roman" w:cs="Times New Roman"/>
          <w:b w:val="0"/>
          <w:bCs w:val="0"/>
        </w:rPr>
        <w:t xml:space="preserve"> мо</w:t>
      </w:r>
      <w:r>
        <w:rPr>
          <w:rFonts w:ascii="Times New Roman" w:hAnsi="Times New Roman" w:cs="Times New Roman"/>
          <w:b w:val="0"/>
          <w:bCs w:val="0"/>
        </w:rPr>
        <w:t xml:space="preserve">жет представить в своей заявке</w:t>
      </w:r>
      <w:r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>
        <w:rPr>
          <w:rFonts w:ascii="Times New Roman" w:hAnsi="Times New Roman" w:cs="Times New Roman"/>
          <w:b w:val="0"/>
          <w:bCs w:val="0"/>
        </w:rPr>
        <w:t xml:space="preserve">части </w:t>
      </w:r>
      <w:hyperlink w:tooltip="#_ТЕХНИЧЕСКАЯ_ЧАСТЬ" w:anchor="_ТЕХНИЧЕСКАЯ_ЧАСТЬ" w:history="1">
        <w:r>
          <w:rPr>
            <w:rStyle w:val="1218"/>
            <w:rFonts w:ascii="Times New Roman" w:hAnsi="Times New Roman" w:cs="Times New Roman"/>
            <w:b w:val="0"/>
            <w:bCs w:val="0"/>
            <w:lang w:val="en-US"/>
          </w:rPr>
          <w:t xml:space="preserve">V</w:t>
        </w:r>
        <w:r>
          <w:rPr>
            <w:rStyle w:val="1218"/>
            <w:rFonts w:ascii="Times New Roman" w:hAnsi="Times New Roman" w:cs="Times New Roman"/>
            <w:b w:val="0"/>
            <w:bCs w:val="0"/>
          </w:rPr>
          <w:t xml:space="preserve"> </w:t>
        </w:r>
        <w:r>
          <w:rPr>
            <w:rStyle w:val="1218"/>
            <w:rFonts w:ascii="Times New Roman" w:hAnsi="Times New Roman" w:cs="Times New Roman"/>
            <w:b w:val="0"/>
          </w:rPr>
          <w:t xml:space="preserve">«ТЕХНИЧЕСКАЯ ЧАСТЬ»</w:t>
        </w:r>
      </w:hyperlink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50"/>
        <w:numPr>
          <w:ilvl w:val="2"/>
          <w:numId w:val="1"/>
        </w:numPr>
        <w:ind w:left="0" w:firstLine="567"/>
        <w:keepNext w:val="0"/>
        <w:spacing w:before="0" w:after="0"/>
        <w:tabs>
          <w:tab w:val="clear" w:pos="454" w:leader="none"/>
          <w:tab w:val="left" w:pos="1418" w:leader="none"/>
          <w:tab w:val="num" w:pos="1730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</w:t>
      </w:r>
      <w:r>
        <w:rPr>
          <w:rFonts w:ascii="Times New Roman" w:hAnsi="Times New Roman" w:cs="Times New Roman"/>
          <w:b w:val="0"/>
          <w:bCs w:val="0"/>
        </w:rPr>
        <w:t xml:space="preserve">ри описании продукции участник закупки, в случае если в настоящей документации о закупке не установлено иное, обязан подтвердить соответствие поставляемой продукции требованиям документации о закупке в отношении всех показателей, которые в ней установлены.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5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</w:t>
      </w:r>
      <w:r>
        <w:rPr>
          <w:rFonts w:ascii="Times New Roman" w:hAnsi="Times New Roman" w:cs="Times New Roman"/>
          <w:b w:val="0"/>
          <w:bCs w:val="0"/>
        </w:rPr>
        <w:t xml:space="preserve">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</w:t>
      </w:r>
      <w:r>
        <w:rPr>
          <w:rFonts w:ascii="Times New Roman" w:hAnsi="Times New Roman" w:cs="Times New Roman"/>
          <w:b w:val="0"/>
          <w:bCs w:val="0"/>
        </w:rPr>
        <w:t xml:space="preserve">в </w:t>
      </w:r>
      <w:hyperlink w:tooltip="#_ТЕХНИЧЕСКАЯ_ЧАСТЬ" w:anchor="_ТЕХНИЧЕСКАЯ_ЧАСТЬ" w:history="1">
        <w:r>
          <w:rPr>
            <w:rStyle w:val="1218"/>
            <w:rFonts w:ascii="Times New Roman" w:hAnsi="Times New Roman" w:cs="Times New Roman"/>
            <w:b w:val="0"/>
            <w:bCs w:val="0"/>
          </w:rPr>
          <w:t xml:space="preserve">части V «ТЕХНИЧЕСКАЯ ЧАСТЬ»</w:t>
        </w:r>
      </w:hyperlink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5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 если </w:t>
      </w:r>
      <w:r>
        <w:rPr>
          <w:rFonts w:ascii="Times New Roman" w:hAnsi="Times New Roman" w:cs="Times New Roman"/>
          <w:b w:val="0"/>
          <w:bCs w:val="0"/>
        </w:rPr>
        <w:t xml:space="preserve">в </w:t>
      </w:r>
      <w:r>
        <w:rPr>
          <w:rFonts w:ascii="Times New Roman" w:hAnsi="Times New Roman" w:cs="Times New Roman"/>
          <w:b w:val="0"/>
          <w:bCs w:val="0"/>
        </w:rPr>
        <w:t xml:space="preserve">части </w:t>
      </w:r>
      <w:hyperlink w:tooltip="#_ТЕХНИЧЕСКАЯ_ЧАСТЬ" w:anchor="_ТЕХНИЧЕСКАЯ_ЧАСТЬ" w:history="1">
        <w:r>
          <w:rPr>
            <w:rStyle w:val="1218"/>
            <w:rFonts w:ascii="Times New Roman" w:hAnsi="Times New Roman" w:cs="Times New Roman"/>
            <w:b w:val="0"/>
            <w:bCs w:val="0"/>
          </w:rPr>
          <w:t xml:space="preserve">V «ТЕХНИЧЕСКАЯ ЧАСТЬ»</w:t>
        </w:r>
      </w:hyperlink>
      <w:r>
        <w:rPr>
          <w:rFonts w:ascii="Times New Roman" w:hAnsi="Times New Roman" w:cs="Times New Roman"/>
          <w:b w:val="0"/>
          <w:bCs w:val="0"/>
        </w:rPr>
        <w:t xml:space="preserve"> указаны товарные знаки, знаки обслуживания, патенты, полезные модели, промышленные образцы, наименования мест происхождения товара или наименования производителей, сопровождаемые словами «или эквивалент», участник процедуры закупки</w:t>
      </w:r>
      <w:r>
        <w:rPr>
          <w:rFonts w:ascii="Times New Roman" w:hAnsi="Times New Roman" w:cs="Times New Roman"/>
          <w:b w:val="0"/>
          <w:bCs w:val="0"/>
        </w:rPr>
        <w:t xml:space="preserve"> в случае предложения эквивалентной продукции</w:t>
      </w:r>
      <w:r>
        <w:rPr>
          <w:rFonts w:ascii="Times New Roman" w:hAnsi="Times New Roman" w:cs="Times New Roman"/>
          <w:b w:val="0"/>
          <w:bCs w:val="0"/>
        </w:rPr>
        <w:t xml:space="preserve"> при описании </w:t>
      </w:r>
      <w:r>
        <w:rPr>
          <w:rFonts w:ascii="Times New Roman" w:hAnsi="Times New Roman" w:cs="Times New Roman"/>
          <w:b w:val="0"/>
          <w:bCs w:val="0"/>
        </w:rPr>
        <w:t xml:space="preserve">ее</w:t>
      </w:r>
      <w:r>
        <w:rPr>
          <w:rFonts w:ascii="Times New Roman" w:hAnsi="Times New Roman" w:cs="Times New Roman"/>
          <w:b w:val="0"/>
          <w:bCs w:val="0"/>
        </w:rPr>
        <w:t xml:space="preserve"> обязан подтвердить соответствие предлагаемой продукции показателям эквивалентности, установленным в документации о закупке.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50"/>
        <w:numPr>
          <w:ilvl w:val="2"/>
          <w:numId w:val="1"/>
        </w:numPr>
        <w:ind w:left="0" w:firstLine="567"/>
        <w:keepNext w:val="0"/>
        <w:spacing w:before="0" w:after="0"/>
      </w:pPr>
      <w:r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  <w:r/>
    </w:p>
    <w:p>
      <w:pPr>
        <w:pStyle w:val="1149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337" w:name="_Toc22"/>
      <w:r/>
      <w:bookmarkStart w:id="92" w:name="_Требования_к_обеспечению"/>
      <w:r/>
      <w:bookmarkStart w:id="93" w:name="_Ref119429503"/>
      <w:r/>
      <w:bookmarkEnd w:id="89"/>
      <w:r/>
      <w:bookmarkEnd w:id="92"/>
      <w:r>
        <w:rPr>
          <w:sz w:val="24"/>
          <w:szCs w:val="24"/>
        </w:rPr>
        <w:t xml:space="preserve">Требования к обеспечению заявок на участие в </w:t>
      </w:r>
      <w:r>
        <w:rPr>
          <w:sz w:val="24"/>
          <w:szCs w:val="24"/>
        </w:rPr>
        <w:t xml:space="preserve">закупке</w:t>
      </w:r>
      <w:bookmarkEnd w:id="93"/>
      <w:r>
        <w:rPr>
          <w:sz w:val="24"/>
          <w:szCs w:val="24"/>
        </w:rPr>
      </w:r>
      <w:bookmarkEnd w:id="337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5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98" w:name="_Возврат_участнику_закупки"/>
      <w:r/>
      <w:bookmarkStart w:id="99" w:name="_Ref535415072"/>
      <w:r/>
      <w:bookmarkEnd w:id="98"/>
      <w:r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Заказчик вправе установить в документации о закупке требование к обеспечению заявок на участие в закупке в размере не более </w:t>
      </w:r>
      <w:r>
        <w:rPr>
          <w:rFonts w:ascii="Times New Roman" w:hAnsi="Times New Roman" w:cs="Times New Roman"/>
          <w:b w:val="0"/>
          <w:bCs w:val="0"/>
        </w:rPr>
        <w:t xml:space="preserve">5</w:t>
      </w:r>
      <w:r>
        <w:rPr>
          <w:rFonts w:ascii="Times New Roman" w:hAnsi="Times New Roman" w:cs="Times New Roman"/>
          <w:b w:val="0"/>
          <w:bCs w:val="0"/>
        </w:rPr>
        <w:t xml:space="preserve"> (</w:t>
      </w:r>
      <w:r>
        <w:rPr>
          <w:rFonts w:ascii="Times New Roman" w:hAnsi="Times New Roman" w:cs="Times New Roman"/>
          <w:b w:val="0"/>
          <w:bCs w:val="0"/>
        </w:rPr>
        <w:t xml:space="preserve">пяти</w:t>
      </w:r>
      <w:r>
        <w:rPr>
          <w:rFonts w:ascii="Times New Roman" w:hAnsi="Times New Roman" w:cs="Times New Roman"/>
          <w:b w:val="0"/>
          <w:bCs w:val="0"/>
        </w:rPr>
        <w:t xml:space="preserve">) процентов от начальной (максимальной) цены договора. Обеспечение заявки может быть представлено в форме внесения денежных средств или в форме </w:t>
      </w:r>
      <w:r>
        <w:rPr>
          <w:rFonts w:ascii="Times New Roman" w:hAnsi="Times New Roman" w:cs="Times New Roman"/>
          <w:b w:val="0"/>
          <w:bCs w:val="0"/>
        </w:rPr>
        <w:t xml:space="preserve">независимой</w:t>
      </w:r>
      <w:r>
        <w:rPr>
          <w:rFonts w:ascii="Times New Roman" w:hAnsi="Times New Roman" w:cs="Times New Roman"/>
          <w:b w:val="0"/>
          <w:bCs w:val="0"/>
        </w:rPr>
        <w:t xml:space="preserve">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5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</w:t>
      </w:r>
      <w:r>
        <w:rPr>
          <w:rFonts w:ascii="Times New Roman" w:hAnsi="Times New Roman" w:cs="Times New Roman"/>
          <w:b w:val="0"/>
          <w:bCs w:val="0"/>
        </w:rPr>
        <w:t xml:space="preserve">пункте </w:t>
      </w:r>
      <w:hyperlink w:tooltip="#_Размер_обеспечения_заявок" w:anchor="_Размер_обеспечения_заявок" w:history="1">
        <w:r>
          <w:rPr>
            <w:rStyle w:val="1218"/>
            <w:rFonts w:ascii="Times New Roman" w:hAnsi="Times New Roman" w:cs="Times New Roman"/>
            <w:b w:val="0"/>
            <w:bCs w:val="0"/>
          </w:rPr>
          <w:t xml:space="preserve">11</w:t>
        </w:r>
        <w:r>
          <w:rPr>
            <w:rStyle w:val="1218"/>
            <w:rFonts w:ascii="Times New Roman" w:hAnsi="Times New Roman" w:cs="Times New Roman"/>
            <w:b w:val="0"/>
            <w:bCs w:val="0"/>
          </w:rPr>
          <w:t xml:space="preserve"> </w:t>
        </w:r>
        <w:r>
          <w:rPr>
            <w:rStyle w:val="1218"/>
            <w:rFonts w:ascii="Times New Roman" w:hAnsi="Times New Roman" w:cs="Times New Roman"/>
            <w:b w:val="0"/>
            <w:bCs w:val="0"/>
          </w:rPr>
          <w:t xml:space="preserve">части</w:t>
        </w:r>
        <w:r>
          <w:rPr>
            <w:rStyle w:val="1218"/>
            <w:rFonts w:ascii="Times New Roman" w:hAnsi="Times New Roman" w:cs="Times New Roman"/>
            <w:b w:val="0"/>
            <w:bCs w:val="0"/>
          </w:rPr>
          <w:t xml:space="preserve"> II «ИНФОРМАЦИОННАЯ КАРТА ЗАКУПКИ»</w:t>
        </w:r>
      </w:hyperlink>
      <w:r>
        <w:rPr>
          <w:rFonts w:ascii="Times New Roman" w:hAnsi="Times New Roman" w:cs="Times New Roman"/>
          <w:b w:val="0"/>
          <w:bCs w:val="0"/>
        </w:rPr>
        <w:t xml:space="preserve">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50"/>
        <w:numPr>
          <w:ilvl w:val="2"/>
          <w:numId w:val="1"/>
        </w:numPr>
        <w:ind w:left="0" w:firstLine="567"/>
        <w:keepNext w:val="0"/>
        <w:spacing w:before="0" w:after="0"/>
        <w:rPr>
          <w:rStyle w:val="1218"/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Денежные средства вносятся участником закупки на Лицевой счет участника закупки, открытый оператором </w:t>
      </w:r>
      <w:r>
        <w:rPr>
          <w:rFonts w:ascii="Times New Roman" w:hAnsi="Times New Roman" w:cs="Times New Roman"/>
          <w:b w:val="0"/>
          <w:bCs w:val="0"/>
        </w:rPr>
        <w:t xml:space="preserve">ЭТП</w:t>
      </w:r>
      <w:r>
        <w:rPr>
          <w:rFonts w:ascii="Times New Roman" w:hAnsi="Times New Roman" w:cs="Times New Roman"/>
          <w:b w:val="0"/>
          <w:bCs w:val="0"/>
        </w:rPr>
        <w:t xml:space="preserve"> в соответствии с правилами, установленными Регламентом работы ЭТП или на счет Заказчика, указанный в </w:t>
      </w:r>
      <w:r>
        <w:rPr>
          <w:rFonts w:ascii="Times New Roman" w:hAnsi="Times New Roman" w:cs="Times New Roman"/>
          <w:b w:val="0"/>
          <w:bCs w:val="0"/>
        </w:rPr>
        <w:t xml:space="preserve">части</w:t>
      </w:r>
      <w:r>
        <w:rPr>
          <w:rFonts w:ascii="Times New Roman" w:hAnsi="Times New Roman" w:cs="Times New Roman"/>
          <w:b w:val="0"/>
          <w:bCs w:val="0"/>
        </w:rPr>
        <w:t xml:space="preserve"> </w:t>
      </w:r>
      <w:hyperlink w:tooltip="#_ПРОЕКТ_ДОГОВОРА" w:anchor="_ПРОЕКТ_ДОГОВОРА" w:history="1">
        <w:r>
          <w:rPr>
            <w:rStyle w:val="1218"/>
            <w:rFonts w:ascii="Times New Roman" w:hAnsi="Times New Roman" w:cs="Times New Roman"/>
            <w:b w:val="0"/>
          </w:rPr>
          <w:t xml:space="preserve">IV «Проект договора»</w:t>
        </w:r>
      </w:hyperlink>
      <w:r>
        <w:rPr>
          <w:rFonts w:ascii="Times New Roman" w:hAnsi="Times New Roman" w:cs="Times New Roman"/>
          <w:b w:val="0"/>
        </w:rPr>
        <w:t xml:space="preserve">. Информация о перечислении средств на Лицевой счет ЭТП либо на </w:t>
      </w:r>
      <w:r>
        <w:rPr>
          <w:rFonts w:ascii="Times New Roman" w:hAnsi="Times New Roman" w:cs="Times New Roman"/>
          <w:b w:val="0"/>
          <w:bCs w:val="0"/>
        </w:rPr>
        <w:t xml:space="preserve">счет Заказчика установлена в пункте </w:t>
      </w:r>
      <w:hyperlink w:tooltip="#_Размер_обеспечения_заявок" w:anchor="_Размер_обеспечения_заявок" w:history="1">
        <w:r>
          <w:rPr>
            <w:rStyle w:val="1218"/>
            <w:rFonts w:ascii="Times New Roman" w:hAnsi="Times New Roman" w:cs="Times New Roman"/>
            <w:b w:val="0"/>
            <w:bCs w:val="0"/>
          </w:rPr>
          <w:t xml:space="preserve">11 </w:t>
        </w:r>
        <w:r>
          <w:rPr>
            <w:rStyle w:val="1218"/>
            <w:rFonts w:ascii="Times New Roman" w:hAnsi="Times New Roman" w:cs="Times New Roman"/>
            <w:b w:val="0"/>
            <w:bCs w:val="0"/>
          </w:rPr>
          <w:t xml:space="preserve">части</w:t>
        </w:r>
        <w:r>
          <w:rPr>
            <w:rStyle w:val="1218"/>
            <w:rFonts w:ascii="Times New Roman" w:hAnsi="Times New Roman" w:cs="Times New Roman"/>
            <w:b w:val="0"/>
            <w:bCs w:val="0"/>
          </w:rPr>
          <w:t xml:space="preserve"> II «ИНФОРМАЦИОННАЯ КАРТА ЗАКУПКИ»</w:t>
        </w:r>
      </w:hyperlink>
      <w:r>
        <w:rPr>
          <w:rStyle w:val="1218"/>
          <w:rFonts w:ascii="Times New Roman" w:hAnsi="Times New Roman" w:cs="Times New Roman"/>
          <w:b w:val="0"/>
          <w:bCs w:val="0"/>
        </w:rPr>
        <w:t xml:space="preserve">.</w:t>
      </w:r>
      <w:r>
        <w:rPr>
          <w:rStyle w:val="1218"/>
          <w:rFonts w:ascii="Times New Roman" w:hAnsi="Times New Roman" w:cs="Times New Roman"/>
          <w:b w:val="0"/>
          <w:bCs w:val="0"/>
        </w:rPr>
      </w:r>
      <w:r>
        <w:rPr>
          <w:rStyle w:val="1218"/>
          <w:rFonts w:ascii="Times New Roman" w:hAnsi="Times New Roman" w:cs="Times New Roman"/>
          <w:b w:val="0"/>
          <w:bCs w:val="0"/>
        </w:rPr>
      </w:r>
    </w:p>
    <w:p>
      <w:pPr>
        <w:pStyle w:val="115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Порядок и случаи блокиро</w:t>
      </w:r>
      <w:r>
        <w:rPr>
          <w:rFonts w:ascii="Times New Roman" w:hAnsi="Times New Roman" w:cs="Times New Roman"/>
          <w:b w:val="0"/>
          <w:bCs w:val="0"/>
        </w:rPr>
        <w:t xml:space="preserve">вания денежных средств, внесенных участниками закупки в целях обеспечения заявок на участие в закупке, и прекращения данного блокирования установлены действующим законодательством о закупках отдельных видов юридических лиц, а также Регламентом работы ЭТП.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5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  Денежные средства, внесенные</w:t>
      </w:r>
      <w:r>
        <w:rPr>
          <w:rFonts w:ascii="Times New Roman" w:hAnsi="Times New Roman" w:cs="Times New Roman"/>
          <w:b w:val="0"/>
        </w:rPr>
        <w:t xml:space="preserve"> на счет Заказчика</w:t>
      </w:r>
      <w:r>
        <w:rPr>
          <w:rFonts w:ascii="Times New Roman" w:hAnsi="Times New Roman" w:cs="Times New Roman"/>
          <w:b w:val="0"/>
        </w:rPr>
        <w:t xml:space="preserve"> в качестве обеспечения заявки на участие в закупке возвращаются: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1311"/>
        <w:numPr>
          <w:ilvl w:val="0"/>
          <w:numId w:val="41"/>
        </w:numPr>
        <w:ind w:left="0" w:firstLine="567"/>
        <w:tabs>
          <w:tab w:val="left" w:pos="993" w:leader="none"/>
        </w:tabs>
        <w:rPr>
          <w:b/>
        </w:rPr>
      </w:pPr>
      <w:r>
        <w:t xml:space="preserve">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протокола, составленного по результатам закупки;</w:t>
      </w:r>
      <w:r>
        <w:rPr>
          <w:b/>
        </w:rPr>
      </w:r>
      <w:r>
        <w:rPr>
          <w:b/>
        </w:rPr>
      </w:r>
    </w:p>
    <w:p>
      <w:pPr>
        <w:pStyle w:val="1311"/>
        <w:numPr>
          <w:ilvl w:val="0"/>
          <w:numId w:val="41"/>
        </w:numPr>
        <w:ind w:left="0" w:firstLine="567"/>
        <w:tabs>
          <w:tab w:val="left" w:pos="993" w:leader="none"/>
        </w:tabs>
        <w:rPr>
          <w:b/>
        </w:rPr>
      </w:pPr>
      <w:r>
        <w:t xml:space="preserve">участнику закупки, заявке которого присвоен первый номер, в срок не более 15 (пятнадцати) рабочи</w:t>
      </w:r>
      <w:r>
        <w:t xml:space="preserve">х дней со дня заключения договора либо со дня предоставления таким участником обеспечения исполнения договора (в случае если требование о предоставлении обеспечения исполнения договора было установлено в извещении о закупке и (или) документации о закупке).</w:t>
      </w:r>
      <w:r>
        <w:rPr>
          <w:b/>
        </w:rPr>
      </w:r>
      <w:r>
        <w:rPr>
          <w:b/>
        </w:rPr>
      </w:r>
    </w:p>
    <w:p>
      <w:pPr>
        <w:pStyle w:val="1150"/>
        <w:numPr>
          <w:ilvl w:val="2"/>
          <w:numId w:val="1"/>
        </w:numPr>
        <w:ind w:left="0" w:firstLine="567"/>
        <w:keepNext w:val="0"/>
        <w:spacing w:before="0" w:after="0"/>
        <w:widowControl w:val="off"/>
        <w:rPr>
          <w:rFonts w:ascii="Times New Roman" w:hAnsi="Times New Roman" w:cs="Times New Roman"/>
          <w:b w:val="0"/>
          <w:bCs w:val="0"/>
        </w:rPr>
      </w:pPr>
      <w:r/>
      <w:bookmarkEnd w:id="99"/>
      <w:r>
        <w:rPr>
          <w:rFonts w:ascii="Times New Roman" w:hAnsi="Times New Roman" w:cs="Times New Roman"/>
          <w:b w:val="0"/>
          <w:bCs w:val="0"/>
        </w:rPr>
        <w:t xml:space="preserve">Возврат участнику закупки денежных средств, внесенных в качестве обеспечения заявки, не производится, а независимая гарантия предъявляется банку-гаранту для выплаты суммы обеспечения исполнения обязательств в следующих случаях: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50"/>
        <w:ind w:left="0" w:firstLine="567"/>
        <w:keepNext w:val="0"/>
        <w:spacing w:before="0" w:after="0"/>
        <w:widowControl w:val="off"/>
        <w:tabs>
          <w:tab w:val="clear" w:pos="312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- непредставления или предоставления с нарушением условий, установленных настоящ</w:t>
      </w:r>
      <w:r>
        <w:rPr>
          <w:rFonts w:ascii="Times New Roman" w:hAnsi="Times New Roman" w:cs="Times New Roman"/>
          <w:b w:val="0"/>
          <w:bCs w:val="0"/>
        </w:rPr>
        <w:t xml:space="preserve">ей</w:t>
      </w:r>
      <w:r>
        <w:rPr>
          <w:rFonts w:ascii="Times New Roman" w:hAnsi="Times New Roman" w:cs="Times New Roman"/>
          <w:b w:val="0"/>
          <w:bCs w:val="0"/>
        </w:rPr>
        <w:t xml:space="preserve"> </w:t>
      </w:r>
      <w:r>
        <w:rPr>
          <w:rFonts w:ascii="Times New Roman" w:hAnsi="Times New Roman" w:cs="Times New Roman"/>
          <w:b w:val="0"/>
          <w:bCs w:val="0"/>
        </w:rPr>
        <w:t xml:space="preserve">документацией</w:t>
      </w:r>
      <w:r>
        <w:rPr>
          <w:rFonts w:ascii="Times New Roman" w:hAnsi="Times New Roman" w:cs="Times New Roman"/>
          <w:b w:val="0"/>
          <w:bCs w:val="0"/>
        </w:rPr>
        <w:t xml:space="preserve"> о закупке, до заключения договора заказчику обеспечения исполнения договора (в случае, если в извещении о </w:t>
      </w:r>
      <w:r>
        <w:rPr>
          <w:rFonts w:ascii="Times New Roman" w:hAnsi="Times New Roman" w:cs="Times New Roman"/>
          <w:b w:val="0"/>
          <w:bCs w:val="0"/>
        </w:rPr>
        <w:t xml:space="preserve">закупке и/или в документации о закупке</w:t>
      </w:r>
      <w:r>
        <w:rPr>
          <w:rFonts w:ascii="Times New Roman" w:hAnsi="Times New Roman" w:cs="Times New Roman"/>
          <w:b w:val="0"/>
          <w:bCs w:val="0"/>
        </w:rPr>
        <w:t xml:space="preserve"> установлены требования обеспечения исполнения договора и срок его предоставления до заключения договора);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50"/>
        <w:ind w:left="0" w:firstLine="567"/>
        <w:keepNext w:val="0"/>
        <w:spacing w:before="0" w:after="0"/>
        <w:widowControl w:val="off"/>
        <w:tabs>
          <w:tab w:val="clear" w:pos="312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- уклонения или отказа участника закупки от заключения договора.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50"/>
        <w:numPr>
          <w:ilvl w:val="2"/>
          <w:numId w:val="1"/>
        </w:numPr>
        <w:ind w:left="0" w:firstLine="567"/>
        <w:keepNext w:val="0"/>
        <w:spacing w:before="0" w:after="0"/>
        <w:widowControl w:val="off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При выборе участником закупки способа обеспечения заявки в форме независимой гарантии участник должен предоставить независимую гарантию, составленную с учетом требований статьи 368-379 Гражданского кодекса Российской Федерации и следующих условий: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50"/>
        <w:ind w:left="0" w:firstLine="567"/>
        <w:keepNext w:val="0"/>
        <w:spacing w:before="0" w:after="0"/>
        <w:widowControl w:val="off"/>
        <w:tabs>
          <w:tab w:val="clear" w:pos="312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1)</w:t>
      </w:r>
      <w:r>
        <w:rPr>
          <w:rFonts w:ascii="Times New Roman" w:hAnsi="Times New Roman" w:cs="Times New Roman"/>
          <w:b w:val="0"/>
          <w:bCs w:val="0"/>
        </w:rPr>
        <w:tab/>
        <w:t xml:space="preserve">независимая гарантия должна быть выдана гарантом, который отвечает требованиям установленными в </w:t>
      </w:r>
      <w:hyperlink r:id="rId25" w:tooltip="Требования_к_гарантам#_" w:anchor="_" w:history="1">
        <w:r>
          <w:rPr>
            <w:rStyle w:val="1218"/>
            <w:rFonts w:ascii="Times New Roman" w:hAnsi="Times New Roman" w:cs="Times New Roman"/>
            <w:b w:val="0"/>
            <w:bCs w:val="0"/>
          </w:rPr>
          <w:t xml:space="preserve">части VIII Требования к гарантам</w:t>
        </w:r>
      </w:hyperlink>
      <w:r>
        <w:rPr>
          <w:rFonts w:ascii="Times New Roman" w:hAnsi="Times New Roman" w:cs="Times New Roman"/>
          <w:b w:val="0"/>
          <w:bCs w:val="0"/>
        </w:rPr>
        <w:t xml:space="preserve">;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50"/>
        <w:ind w:left="0" w:firstLine="567"/>
        <w:keepNext w:val="0"/>
        <w:spacing w:before="0" w:after="0"/>
        <w:widowControl w:val="off"/>
        <w:tabs>
          <w:tab w:val="clear" w:pos="312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2)</w:t>
      </w:r>
      <w:r>
        <w:rPr>
          <w:rFonts w:ascii="Times New Roman" w:hAnsi="Times New Roman" w:cs="Times New Roman"/>
          <w:b w:val="0"/>
          <w:bCs w:val="0"/>
        </w:rPr>
        <w:tab/>
        <w:t xml:space="preserve">независимая гарантия не может быть отозвана выдавшим ее гарантом.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50"/>
        <w:numPr>
          <w:ilvl w:val="2"/>
          <w:numId w:val="1"/>
        </w:numPr>
        <w:ind w:left="0" w:firstLine="567"/>
        <w:keepNext w:val="0"/>
        <w:spacing w:before="0" w:after="0"/>
        <w:widowControl w:val="off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Независимая гарантия должна содержать указание на срок ее действия, который должен заканчиваться не ранее, чем через 60 (шестьдесят) календарных дней со дня, следующего за днем окончания подачи заявок.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50"/>
        <w:numPr>
          <w:ilvl w:val="2"/>
          <w:numId w:val="1"/>
        </w:numPr>
        <w:ind w:left="0" w:firstLine="567"/>
        <w:keepNext w:val="0"/>
        <w:spacing w:before="0" w:after="0"/>
        <w:widowControl w:val="off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Форма независимой гарантии, иные требования, связанные с независимой гарантией, установлены в </w:t>
      </w:r>
      <w:hyperlink w:tooltip="#_ТИПОВАЯ_ФОРМА_НЕЗАВИСИМОЙ" w:anchor="_ТИПОВАЯ_ФОРМА_НЕЗАВИСИМОЙ" w:history="1">
        <w:r>
          <w:rPr>
            <w:rStyle w:val="1218"/>
            <w:rFonts w:ascii="Times New Roman" w:hAnsi="Times New Roman" w:cs="Times New Roman"/>
            <w:b w:val="0"/>
            <w:bCs w:val="0"/>
          </w:rPr>
          <w:t xml:space="preserve">части VII «Типовая форма независимой гарантии обеспечения заявки участника закупочной процедуры»</w:t>
        </w:r>
      </w:hyperlink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50"/>
        <w:numPr>
          <w:ilvl w:val="2"/>
          <w:numId w:val="1"/>
        </w:numPr>
        <w:ind w:left="0" w:firstLine="567"/>
        <w:keepNext w:val="0"/>
        <w:spacing w:before="0" w:after="0"/>
        <w:widowControl w:val="off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Независимая гарантия, может быть выдана в письменной форме на бумажном носителе или в форме электронного документа, подписанного усиленной квалифицированной электронной подписью (УКЭП).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50"/>
        <w:numPr>
          <w:ilvl w:val="2"/>
          <w:numId w:val="1"/>
        </w:numPr>
        <w:ind w:left="0" w:firstLine="567"/>
        <w:keepNext w:val="0"/>
        <w:spacing w:before="0" w:after="0"/>
        <w:widowControl w:val="off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Вместе с гарантией участник представляет документы, подтверждающие полномочия лица, подписавшего гарантию от имени гаранта: доверенность на лицо, подписавшее гарантию.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50"/>
        <w:numPr>
          <w:ilvl w:val="2"/>
          <w:numId w:val="1"/>
        </w:numPr>
        <w:ind w:left="0" w:firstLine="567"/>
        <w:keepNext w:val="0"/>
        <w:spacing w:before="0" w:after="0"/>
        <w:widowControl w:val="off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Не допускается включение в условия независимой гарантии требования о предоставлении бенефициаром гаранту вместе с требованием об осуществлении платежа каких-либо документов, подтверждающи</w:t>
      </w:r>
      <w:r>
        <w:rPr>
          <w:rFonts w:ascii="Times New Roman" w:hAnsi="Times New Roman" w:cs="Times New Roman"/>
          <w:b w:val="0"/>
          <w:bCs w:val="0"/>
        </w:rPr>
        <w:t xml:space="preserve">х неисполнение или ненадлежащее исполнение принципалом обязательств, обеспечиваемых независимой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50"/>
        <w:numPr>
          <w:ilvl w:val="2"/>
          <w:numId w:val="1"/>
        </w:numPr>
        <w:ind w:left="0" w:firstLine="567"/>
        <w:keepNext w:val="0"/>
        <w:spacing w:before="0" w:after="0"/>
        <w:widowControl w:val="off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Взыскание по независимой гарантии производится при наступлении обстоятельств, предусмотренных независимой гарантией.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50"/>
        <w:numPr>
          <w:ilvl w:val="2"/>
          <w:numId w:val="1"/>
        </w:numPr>
        <w:ind w:left="0" w:firstLine="567"/>
        <w:keepNext w:val="0"/>
        <w:spacing w:before="0" w:after="0"/>
        <w:widowControl w:val="off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Основанием для отказа в допуске к участию в закупке является несоответствие независимой гарантии условиям (требованиям), изложенным в настоящ</w:t>
      </w:r>
      <w:r>
        <w:rPr>
          <w:rFonts w:ascii="Times New Roman" w:hAnsi="Times New Roman" w:cs="Times New Roman"/>
          <w:b w:val="0"/>
          <w:bCs w:val="0"/>
        </w:rPr>
        <w:t xml:space="preserve">ей документации</w:t>
      </w:r>
      <w:r>
        <w:rPr>
          <w:rFonts w:ascii="Times New Roman" w:hAnsi="Times New Roman" w:cs="Times New Roman"/>
          <w:b w:val="0"/>
          <w:bCs w:val="0"/>
        </w:rPr>
        <w:t xml:space="preserve"> о закупке, либо несоответствие гаранта, выдавшего гарантию, требованиям </w:t>
      </w:r>
      <w:r>
        <w:rPr>
          <w:rFonts w:ascii="Times New Roman" w:hAnsi="Times New Roman" w:cs="Times New Roman"/>
          <w:b w:val="0"/>
          <w:bCs w:val="0"/>
        </w:rPr>
        <w:t xml:space="preserve">настоящей документации</w:t>
      </w:r>
      <w:r>
        <w:rPr>
          <w:rFonts w:ascii="Times New Roman" w:hAnsi="Times New Roman" w:cs="Times New Roman"/>
          <w:b w:val="0"/>
          <w:bCs w:val="0"/>
        </w:rPr>
        <w:t xml:space="preserve"> о закупке.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49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338" w:name="_Toc23"/>
      <w:r/>
      <w:bookmarkStart w:id="101" w:name="_Порядок_действий,_осуществляемых_1"/>
      <w:r/>
      <w:bookmarkEnd w:id="101"/>
      <w:r>
        <w:rPr>
          <w:sz w:val="24"/>
          <w:szCs w:val="24"/>
        </w:rPr>
        <w:t xml:space="preserve">Порядок действий, осуществляемых Заказчиком в ходе проведения закупки, в случае предложения участником закупки аномально низкой цены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</w:r>
      <w:bookmarkEnd w:id="338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5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/>
      <w:bookmarkStart w:id="103" w:name="_В_случае_если_1"/>
      <w:r/>
      <w:bookmarkEnd w:id="103"/>
      <w:r>
        <w:rPr>
          <w:rFonts w:ascii="Times New Roman" w:hAnsi="Times New Roman" w:cs="Times New Roman"/>
          <w:b w:val="0"/>
        </w:rPr>
        <w:t xml:space="preserve">Под аномально низкой ценой понимается снижение цены участником закупки на 25 и более процентов ниже начальной (максимальной) цены договора (цены лота)/начальной суммы цен единиц товара (работы, услуги), указанной в извещении и/или документации о закупке.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115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/>
      <w:bookmarkStart w:id="104" w:name="_В_случае_если_3"/>
      <w:r/>
      <w:bookmarkEnd w:id="104"/>
      <w:r>
        <w:rPr>
          <w:rFonts w:ascii="Times New Roman" w:hAnsi="Times New Roman" w:cs="Times New Roman"/>
          <w:b w:val="0"/>
        </w:rPr>
        <w:t xml:space="preserve">В случае если при проведении закупки побе</w:t>
      </w:r>
      <w:r>
        <w:rPr>
          <w:rFonts w:ascii="Times New Roman" w:hAnsi="Times New Roman" w:cs="Times New Roman"/>
          <w:b w:val="0"/>
        </w:rPr>
        <w:t xml:space="preserve">дителем (либо единственным участником, признанным соответствующим требованиям извещения о закупке) признается участник, предложивший аномально низкое ценовое предложение, таким участником предоставляется обеспечение исполнения договора в следующем размере: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tbl>
      <w:tblPr>
        <w:tblW w:w="10206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556"/>
        <w:gridCol w:w="1826"/>
        <w:gridCol w:w="1559"/>
        <w:gridCol w:w="1843"/>
        <w:gridCol w:w="4422"/>
      </w:tblGrid>
      <w:tr>
        <w:tblPrEx/>
        <w:trPr/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6" w:type="dxa"/>
            <w:vMerge w:val="restart"/>
            <w:textDirection w:val="lrTb"/>
            <w:noWrap w:val="false"/>
          </w:tcPr>
          <w:p>
            <w:pPr>
              <w:spacing w:after="0"/>
            </w:pPr>
            <w:r/>
            <w:r/>
          </w:p>
          <w:p>
            <w:pPr>
              <w:spacing w:after="0"/>
            </w:pPr>
            <w:r>
              <w:t xml:space="preserve">№</w:t>
            </w:r>
            <w:r/>
          </w:p>
        </w:tc>
        <w:tc>
          <w:tcPr>
            <w:gridSpan w:val="3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228" w:type="dxa"/>
            <w:textDirection w:val="lrTb"/>
            <w:noWrap w:val="false"/>
          </w:tcPr>
          <w:p>
            <w:pPr>
              <w:jc w:val="center"/>
              <w:spacing w:after="0"/>
            </w:pPr>
            <w:r>
              <w:t xml:space="preserve">Матрица договорных условий</w:t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422" w:type="dxa"/>
            <w:vMerge w:val="restart"/>
            <w:textDirection w:val="lrTb"/>
            <w:noWrap w:val="false"/>
          </w:tcPr>
          <w:p>
            <w:pPr>
              <w:spacing w:after="0"/>
            </w:pPr>
            <w:r>
              <w:t xml:space="preserve">Изменение размера обеспечения исполнения договора в случае подачи участником закупки аномально низкого ценового предложения</w:t>
            </w:r>
            <w:r/>
          </w:p>
        </w:tc>
      </w:tr>
      <w:tr>
        <w:tblPrEx/>
        <w:trPr/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6" w:type="dxa"/>
            <w:vAlign w:val="center"/>
            <w:vMerge w:val="continue"/>
            <w:textDirection w:val="lrTb"/>
            <w:noWrap w:val="false"/>
          </w:tcPr>
          <w:p>
            <w:pPr>
              <w:spacing w:after="0"/>
            </w:pPr>
            <w:r/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26" w:type="dxa"/>
            <w:textDirection w:val="lrTb"/>
            <w:noWrap w:val="false"/>
          </w:tcPr>
          <w:p>
            <w:pPr>
              <w:jc w:val="center"/>
              <w:spacing w:after="0"/>
            </w:pPr>
            <w:r>
              <w:t xml:space="preserve">Требование по обеспечению исполнения договора</w:t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0"/>
            </w:pPr>
            <w:r>
              <w:t xml:space="preserve">Авансирование</w:t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jc w:val="center"/>
              <w:spacing w:after="0"/>
            </w:pPr>
            <w:r>
              <w:t xml:space="preserve">Обеспечение на возврат авансового платежа</w:t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422" w:type="dxa"/>
            <w:vAlign w:val="center"/>
            <w:vMerge w:val="continue"/>
            <w:textDirection w:val="lrTb"/>
            <w:noWrap w:val="false"/>
          </w:tcPr>
          <w:p>
            <w:pPr>
              <w:spacing w:after="0"/>
            </w:pPr>
            <w:r/>
            <w:r/>
          </w:p>
        </w:tc>
      </w:tr>
      <w:tr>
        <w:tblPrEx/>
        <w:trPr/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6" w:type="dxa"/>
            <w:textDirection w:val="lrTb"/>
            <w:noWrap w:val="false"/>
          </w:tcPr>
          <w:p>
            <w:pPr>
              <w:spacing w:after="0"/>
            </w:pPr>
            <w:r>
              <w:t xml:space="preserve">1</w:t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26" w:type="dxa"/>
            <w:textDirection w:val="lrTb"/>
            <w:noWrap w:val="false"/>
          </w:tcPr>
          <w:p>
            <w:pPr>
              <w:jc w:val="center"/>
              <w:spacing w:after="0"/>
            </w:pPr>
            <w:r>
              <w:t xml:space="preserve">не предусмотрено</w:t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0"/>
            </w:pPr>
            <w:r>
              <w:t xml:space="preserve">не предусмотрено</w:t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jc w:val="center"/>
              <w:spacing w:after="0"/>
            </w:pPr>
            <w:r>
              <w:t xml:space="preserve">не предусмотрено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422" w:type="dxa"/>
            <w:textDirection w:val="lrTb"/>
            <w:noWrap w:val="false"/>
          </w:tcPr>
          <w:p>
            <w:pPr>
              <w:spacing w:line="256" w:lineRule="auto"/>
              <w:rPr>
                <w:i/>
                <w:lang w:eastAsia="en-US"/>
              </w:rPr>
            </w:pPr>
            <w:r>
              <w:rPr>
                <w:lang w:eastAsia="en-US"/>
              </w:rPr>
              <w:t xml:space="preserve">обеспечение исполнения обязательств по договору в размере 5% (пять процентов) </w:t>
            </w:r>
            <w:r>
              <w:rPr>
                <w:lang w:eastAsia="en-US"/>
              </w:rPr>
              <w:br/>
              <w:t xml:space="preserve">от начальной (максимальной) цены договора, установленной при объявлении закупки </w:t>
            </w:r>
            <w:r>
              <w:rPr>
                <w:lang w:eastAsia="en-US"/>
              </w:rPr>
              <w:br/>
            </w:r>
            <w:r>
              <w:rPr>
                <w:i/>
                <w:lang w:eastAsia="en-US"/>
              </w:rPr>
              <w:t xml:space="preserve">(по решению закупочной комиссии при формировании извещения о закупке и/или документации о закупки размер обеспечения может быть увеличен до 30% (тридцати) от начальной (максимальной) цены договора)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6" w:type="dxa"/>
            <w:textDirection w:val="lrTb"/>
            <w:noWrap w:val="false"/>
          </w:tcPr>
          <w:p>
            <w:pPr>
              <w:spacing w:after="0"/>
            </w:pPr>
            <w:r>
              <w:t xml:space="preserve">2</w:t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26" w:type="dxa"/>
            <w:textDirection w:val="lrTb"/>
            <w:noWrap w:val="false"/>
          </w:tcPr>
          <w:p>
            <w:pPr>
              <w:jc w:val="center"/>
              <w:spacing w:after="0"/>
            </w:pPr>
            <w:r>
              <w:t xml:space="preserve">предусмотрено</w:t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0"/>
            </w:pPr>
            <w:r>
              <w:t xml:space="preserve">не предусмотрено</w:t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jc w:val="center"/>
              <w:spacing w:after="0"/>
            </w:pPr>
            <w:r>
              <w:t xml:space="preserve">не предусмотрено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422" w:type="dxa"/>
            <w:textDirection w:val="lrTb"/>
            <w:noWrap w:val="false"/>
          </w:tcPr>
          <w:p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увеличенное от первоначально установленного обеспечения исполнения обязательств по договору </w:t>
            </w:r>
            <w:r>
              <w:rPr>
                <w:lang w:eastAsia="en-US"/>
              </w:rPr>
              <w:br/>
              <w:t xml:space="preserve">в 1,5 (полтора) раза, но не менее 5% (пяти процентов) от начальной (максимальной) цены договора 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6" w:type="dxa"/>
            <w:textDirection w:val="lrTb"/>
            <w:noWrap w:val="false"/>
          </w:tcPr>
          <w:p>
            <w:pPr>
              <w:spacing w:after="0"/>
            </w:pPr>
            <w:r>
              <w:t xml:space="preserve">3</w:t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26" w:type="dxa"/>
            <w:textDirection w:val="lrTb"/>
            <w:noWrap w:val="false"/>
          </w:tcPr>
          <w:p>
            <w:pPr>
              <w:jc w:val="center"/>
              <w:spacing w:after="0"/>
            </w:pPr>
            <w:r>
              <w:t xml:space="preserve">не предусмотрено</w:t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0"/>
            </w:pPr>
            <w:r>
              <w:t xml:space="preserve">предусмотрено</w:t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jc w:val="center"/>
              <w:spacing w:after="0"/>
            </w:pPr>
            <w:r>
              <w:t xml:space="preserve">предусмотрено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422" w:type="dxa"/>
            <w:textDirection w:val="lrTb"/>
            <w:noWrap w:val="false"/>
          </w:tcPr>
          <w:p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обеспечение исполнения договора в размере аванса, </w:t>
            </w:r>
            <w:r>
              <w:rPr>
                <w:lang w:eastAsia="en-US"/>
              </w:rPr>
              <w:br/>
              <w:t xml:space="preserve">но не менее 5% (пяти процентов) от начальной (максимальной) цены договора 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6" w:type="dxa"/>
            <w:textDirection w:val="lrTb"/>
            <w:noWrap w:val="false"/>
          </w:tcPr>
          <w:p>
            <w:pPr>
              <w:spacing w:after="0"/>
            </w:pPr>
            <w:r>
              <w:t xml:space="preserve">4</w:t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26" w:type="dxa"/>
            <w:textDirection w:val="lrTb"/>
            <w:noWrap w:val="false"/>
          </w:tcPr>
          <w:p>
            <w:pPr>
              <w:jc w:val="center"/>
              <w:spacing w:after="0"/>
            </w:pPr>
            <w:r>
              <w:t xml:space="preserve">не предусмотрено</w:t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0"/>
            </w:pPr>
            <w:r>
              <w:t xml:space="preserve">предусмотрено</w:t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jc w:val="center"/>
              <w:spacing w:after="0"/>
            </w:pPr>
            <w:r>
              <w:t xml:space="preserve">не предусмотрено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422" w:type="dxa"/>
            <w:textDirection w:val="lrTb"/>
            <w:noWrap w:val="false"/>
          </w:tcPr>
          <w:p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обеспечение исполнения договора в размере аванса, </w:t>
            </w:r>
            <w:r>
              <w:rPr>
                <w:lang w:eastAsia="en-US"/>
              </w:rPr>
              <w:br/>
              <w:t xml:space="preserve">но не менее 5% (пяти процентов) от начальной (максимальной) цены договора 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6" w:type="dxa"/>
            <w:textDirection w:val="lrTb"/>
            <w:noWrap w:val="false"/>
          </w:tcPr>
          <w:p>
            <w:pPr>
              <w:spacing w:after="0"/>
            </w:pPr>
            <w:r>
              <w:t xml:space="preserve">5</w:t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26" w:type="dxa"/>
            <w:textDirection w:val="lrTb"/>
            <w:noWrap w:val="false"/>
          </w:tcPr>
          <w:p>
            <w:pPr>
              <w:jc w:val="center"/>
              <w:spacing w:after="0"/>
            </w:pPr>
            <w:r>
              <w:t xml:space="preserve">предусмотрено</w:t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0"/>
            </w:pPr>
            <w:r>
              <w:t xml:space="preserve">предусмотрено</w:t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jc w:val="center"/>
              <w:spacing w:after="0"/>
            </w:pPr>
            <w:r>
              <w:t xml:space="preserve">не предусмотрено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422" w:type="dxa"/>
            <w:textDirection w:val="lrTb"/>
            <w:noWrap w:val="false"/>
          </w:tcPr>
          <w:p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увеличенное от первоначально установленного обеспечения исполнения договора в 1,5 (полтора) раза, но не менее размера аванса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</w:tr>
      <w:tr>
        <w:tblPrEx/>
        <w:trPr>
          <w:trHeight w:val="2585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6" w:type="dxa"/>
            <w:textDirection w:val="lrTb"/>
            <w:noWrap w:val="false"/>
          </w:tcPr>
          <w:p>
            <w:pPr>
              <w:spacing w:after="0"/>
            </w:pPr>
            <w:r>
              <w:t xml:space="preserve">6</w:t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26" w:type="dxa"/>
            <w:textDirection w:val="lrTb"/>
            <w:noWrap w:val="false"/>
          </w:tcPr>
          <w:p>
            <w:pPr>
              <w:jc w:val="center"/>
              <w:spacing w:after="0"/>
            </w:pPr>
            <w:r>
              <w:t xml:space="preserve">предусмотрено</w:t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0"/>
            </w:pPr>
            <w:r>
              <w:t xml:space="preserve">предусмотрено</w:t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jc w:val="center"/>
              <w:spacing w:after="0"/>
            </w:pPr>
            <w:r>
              <w:t xml:space="preserve">предусмотрено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422" w:type="dxa"/>
            <w:textDirection w:val="lrTb"/>
            <w:noWrap w:val="false"/>
          </w:tcPr>
          <w:p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увеличенное от первоначально установленного обеспечения исполнения договора в 1,5 (полтора) раза, но не менее 5% (пяти процентов) от начальной (максимальной) цены договора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</w:tr>
    </w:tbl>
    <w:p>
      <w:pPr>
        <w:pStyle w:val="1311"/>
        <w:numPr>
          <w:ilvl w:val="2"/>
          <w:numId w:val="1"/>
        </w:numPr>
        <w:ind w:left="0" w:firstLine="567"/>
        <w:jc w:val="both"/>
      </w:pPr>
      <w:r>
        <w:t xml:space="preserve">Обеспечение исполнения договора может быть представлено в форме и порядке, установленными проектом договора</w:t>
      </w:r>
      <w:r>
        <w:t xml:space="preserve">. Выбор способа обеспечения заявки на участие в закупке осуществляется участником закупки самостоятельно, с учетом установленных договором требований. Предоставление обеспечения иным, не указанным в настоящей документации о закупке способом не допускается.</w:t>
      </w:r>
      <w:r/>
    </w:p>
    <w:p>
      <w:pPr>
        <w:pStyle w:val="1311"/>
        <w:numPr>
          <w:ilvl w:val="2"/>
          <w:numId w:val="1"/>
        </w:numPr>
        <w:ind w:left="0" w:firstLine="567"/>
        <w:jc w:val="both"/>
        <w:tabs>
          <w:tab w:val="clear" w:pos="454" w:leader="none"/>
          <w:tab w:val="num" w:pos="851" w:leader="none"/>
        </w:tabs>
        <w:outlineLvl w:val="2"/>
      </w:pPr>
      <w:r>
        <w:t xml:space="preserve">В случае принятия участником закупки решения о предоставлении обеспечени</w:t>
      </w:r>
      <w:r>
        <w:t xml:space="preserve">я</w:t>
      </w:r>
      <w:r>
        <w:t xml:space="preserve"> исполнения обязательств по договору, предусмотренного в </w:t>
      </w:r>
      <w:hyperlink w:tooltip="#_В_случае_если_3" w:anchor="_В_случае_если_3" w:history="1">
        <w:r>
          <w:rPr>
            <w:rStyle w:val="1218"/>
          </w:rPr>
          <w:t xml:space="preserve">пункте 3.7.2 документации о закупке</w:t>
        </w:r>
      </w:hyperlink>
      <w:r>
        <w:t xml:space="preserve"> в форме денежных средств, такие средства перечи</w:t>
      </w:r>
      <w:r>
        <w:t xml:space="preserve">сляются на расчетный счет Заказчика, указанный в соответствующем разделе Проекта договора. В платежном поручении в графе «наименование платежа» необходимо указать «Обеспечение исполнения обязательств по договору (наименование), а также «НДС не облагается».</w:t>
      </w:r>
      <w:r/>
    </w:p>
    <w:p>
      <w:pPr>
        <w:pStyle w:val="1311"/>
        <w:numPr>
          <w:ilvl w:val="2"/>
          <w:numId w:val="1"/>
        </w:numPr>
        <w:ind w:left="0" w:firstLine="567"/>
        <w:jc w:val="both"/>
        <w:tabs>
          <w:tab w:val="clear" w:pos="454" w:leader="none"/>
          <w:tab w:val="num" w:pos="851" w:leader="none"/>
        </w:tabs>
        <w:outlineLvl w:val="2"/>
      </w:pPr>
      <w:r>
        <w:t xml:space="preserve">Срок предоставления обеспечения исполнени</w:t>
      </w:r>
      <w:r>
        <w:t xml:space="preserve">я</w:t>
      </w:r>
      <w:r>
        <w:t xml:space="preserve"> договора устанавливается </w:t>
      </w:r>
      <w:r>
        <w:t xml:space="preserve">в </w:t>
      </w:r>
      <w:r>
        <w:t xml:space="preserve">проекте договора. В случае отсутствия в проекте договора установленного срока предоставления обеспечения исполнения договора такое обеспечение предоставляется до момента подписания Договора.</w:t>
      </w:r>
      <w:r/>
    </w:p>
    <w:p>
      <w:pPr>
        <w:pStyle w:val="1311"/>
        <w:numPr>
          <w:ilvl w:val="2"/>
          <w:numId w:val="1"/>
        </w:numPr>
        <w:ind w:left="0" w:firstLine="567"/>
        <w:jc w:val="both"/>
        <w:tabs>
          <w:tab w:val="clear" w:pos="454" w:leader="none"/>
          <w:tab w:val="num" w:pos="851" w:leader="none"/>
        </w:tabs>
        <w:outlineLvl w:val="2"/>
      </w:pPr>
      <w:r>
        <w:t xml:space="preserve">В случае принятия решения о предоставлении обеспечени</w:t>
      </w:r>
      <w:r>
        <w:t xml:space="preserve">я</w:t>
      </w:r>
      <w:r>
        <w:t xml:space="preserve"> исполнения обязательств по договору, предусмотренного в </w:t>
      </w:r>
      <w:hyperlink w:tooltip="#_В_случае_если_3" w:anchor="_В_случае_если_3" w:history="1">
        <w:r>
          <w:rPr>
            <w:rStyle w:val="1218"/>
          </w:rPr>
          <w:t xml:space="preserve">пункте 3.7.2 документации о закупке</w:t>
        </w:r>
      </w:hyperlink>
      <w:r>
        <w:t xml:space="preserve"> в форме </w:t>
      </w:r>
      <w:r>
        <w:t xml:space="preserve">независимой</w:t>
      </w:r>
      <w:r>
        <w:t xml:space="preserve"> гарантии, такая гарантия, а также </w:t>
      </w:r>
      <w:r>
        <w:t xml:space="preserve">б</w:t>
      </w:r>
      <w:r>
        <w:t xml:space="preserve"> должны соответствовать требованиям, установленным в пункте </w:t>
      </w:r>
      <w:hyperlink w:tooltip="#_Требования_к_условиям" w:anchor="_Требования_к_условиям" w:history="1">
        <w:r>
          <w:rPr>
            <w:rStyle w:val="1218"/>
          </w:rPr>
          <w:t xml:space="preserve">6.3 настоящей документации</w:t>
        </w:r>
      </w:hyperlink>
      <w:r>
        <w:t xml:space="preserve">.</w:t>
      </w:r>
      <w:r/>
    </w:p>
    <w:p>
      <w:r/>
      <w:r/>
    </w:p>
    <w:p>
      <w:pPr>
        <w:pStyle w:val="1148"/>
        <w:numPr>
          <w:ilvl w:val="0"/>
          <w:numId w:val="1"/>
        </w:numPr>
        <w:ind w:left="0" w:firstLine="567"/>
        <w:jc w:val="left"/>
        <w:keepNext w:val="0"/>
        <w:spacing w:before="0" w:after="0"/>
        <w:rPr>
          <w:sz w:val="24"/>
          <w:szCs w:val="24"/>
        </w:rPr>
      </w:pPr>
      <w:r/>
      <w:bookmarkStart w:id="339" w:name="_Toc24"/>
      <w:r>
        <w:rPr>
          <w:sz w:val="24"/>
          <w:szCs w:val="24"/>
        </w:rPr>
        <w:t xml:space="preserve">ПОДАЧА ЗАЯВОК НА УЧАСТИЕ В </w:t>
      </w:r>
      <w:r>
        <w:rPr>
          <w:sz w:val="24"/>
          <w:szCs w:val="24"/>
        </w:rPr>
        <w:t xml:space="preserve">ЗАКУПКЕ</w:t>
      </w:r>
      <w:r>
        <w:rPr>
          <w:sz w:val="24"/>
          <w:szCs w:val="24"/>
        </w:rPr>
      </w:r>
      <w:bookmarkEnd w:id="339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49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340" w:name="_Toc25"/>
      <w:r/>
      <w:bookmarkStart w:id="106" w:name="_Ref166249895"/>
      <w:r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06"/>
      <w:r>
        <w:rPr>
          <w:sz w:val="24"/>
          <w:szCs w:val="24"/>
        </w:rPr>
        <w:t xml:space="preserve">закупке</w:t>
      </w:r>
      <w:r>
        <w:rPr>
          <w:sz w:val="24"/>
          <w:szCs w:val="24"/>
        </w:rPr>
      </w:r>
      <w:bookmarkEnd w:id="340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5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закупки подает </w:t>
      </w:r>
      <w:r>
        <w:rPr>
          <w:rFonts w:ascii="Times New Roman" w:hAnsi="Times New Roman" w:cs="Times New Roman"/>
          <w:b w:val="0"/>
          <w:bCs w:val="0"/>
        </w:rPr>
        <w:t xml:space="preserve">заявку на участие в закупке в электронной форме с использованием функционала и в соответствии с Регламентом работы ЭТП в сроки, установленные в пункте </w:t>
      </w:r>
      <w:hyperlink w:tooltip="#_Дата_рассмотрения_предложений" w:anchor="_Дата_рассмотрения_предложений" w:history="1">
        <w:r>
          <w:rPr>
            <w:rStyle w:val="1218"/>
            <w:rFonts w:ascii="Times New Roman" w:hAnsi="Times New Roman" w:cs="Times New Roman"/>
            <w:b w:val="0"/>
            <w:bCs w:val="0"/>
          </w:rPr>
          <w:t xml:space="preserve">9 </w:t>
        </w:r>
        <w:r>
          <w:rPr>
            <w:rStyle w:val="1218"/>
            <w:rFonts w:ascii="Times New Roman" w:hAnsi="Times New Roman" w:cs="Times New Roman"/>
            <w:b w:val="0"/>
            <w:bCs w:val="0"/>
          </w:rPr>
          <w:t xml:space="preserve">части II «ИНФОРМАЦИОННАЯ КАРТА ЗАКУПКИ»</w:t>
        </w:r>
      </w:hyperlink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5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закупки вправе подать только одну заявку на участие в процедуре закупки в отношении каждого лота.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5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Не допускается подача заявки на отдельные позиции или часть объема по как</w:t>
      </w:r>
      <w:r>
        <w:rPr>
          <w:rFonts w:ascii="Times New Roman" w:hAnsi="Times New Roman" w:cs="Times New Roman"/>
          <w:b w:val="0"/>
          <w:bCs w:val="0"/>
        </w:rPr>
        <w:t xml:space="preserve">ой-либо из позиций перечня товаров/работ/услуг,</w:t>
      </w:r>
      <w:r>
        <w:rPr>
          <w:rFonts w:ascii="Times New Roman" w:hAnsi="Times New Roman" w:cs="Times New Roman"/>
          <w:b w:val="0"/>
          <w:bCs w:val="0"/>
        </w:rPr>
        <w:t xml:space="preserve"> указанного в </w:t>
      </w:r>
      <w:hyperlink w:tooltip="#_ТЕХНИЧЕСКАЯ_ЧАСТЬ" w:anchor="_ТЕХНИЧЕСКАЯ_ЧАСТЬ" w:history="1">
        <w:r>
          <w:rPr>
            <w:rStyle w:val="1218"/>
            <w:rFonts w:ascii="Times New Roman" w:hAnsi="Times New Roman" w:cs="Times New Roman"/>
            <w:b w:val="0"/>
            <w:bCs w:val="0"/>
          </w:rPr>
          <w:t xml:space="preserve">части V «ТЕХНИЧЕСКАЯ ЧАСТЬ»</w:t>
        </w:r>
      </w:hyperlink>
      <w:r>
        <w:rPr>
          <w:rStyle w:val="1218"/>
          <w:rFonts w:ascii="Times New Roman" w:hAnsi="Times New Roman" w:cs="Times New Roman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49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341" w:name="_Toc26"/>
      <w:r/>
      <w:bookmarkStart w:id="109" w:name="_Ref119429670"/>
      <w:r>
        <w:rPr>
          <w:sz w:val="24"/>
          <w:szCs w:val="24"/>
        </w:rPr>
        <w:t xml:space="preserve">Изменения и отзыв заявок на участие в </w:t>
      </w:r>
      <w:bookmarkEnd w:id="109"/>
      <w:r>
        <w:rPr>
          <w:sz w:val="24"/>
          <w:szCs w:val="24"/>
        </w:rPr>
        <w:t xml:space="preserve">закупке</w:t>
      </w:r>
      <w:r>
        <w:rPr>
          <w:sz w:val="24"/>
          <w:szCs w:val="24"/>
        </w:rPr>
      </w:r>
      <w:bookmarkEnd w:id="341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5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закупке, вправе изменить или отозвать заявку на участие в закупке в любое время до момента окончания срока подачи заявок на участие в закупке.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5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Порядок изменения и отзыва заявок на участие в закупке определен Регламентом работы ЭТП.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5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После окончания с</w:t>
      </w:r>
      <w:r>
        <w:rPr>
          <w:rFonts w:ascii="Times New Roman" w:hAnsi="Times New Roman" w:cs="Times New Roman"/>
          <w:b w:val="0"/>
          <w:bCs w:val="0"/>
        </w:rPr>
        <w:t xml:space="preserve">рока подачи заявок не допускается изменени</w:t>
      </w:r>
      <w:r>
        <w:rPr>
          <w:rFonts w:ascii="Times New Roman" w:hAnsi="Times New Roman" w:cs="Times New Roman"/>
          <w:b w:val="0"/>
          <w:bCs w:val="0"/>
        </w:rPr>
        <w:t xml:space="preserve">е</w:t>
      </w:r>
      <w:r>
        <w:rPr>
          <w:rFonts w:ascii="Times New Roman" w:hAnsi="Times New Roman" w:cs="Times New Roman"/>
          <w:b w:val="0"/>
          <w:bCs w:val="0"/>
        </w:rPr>
        <w:t xml:space="preserve"> или отзыв заявок на участие в закупке за исключением случаев, предусмотренных законодательством о закупках отдельных видо</w:t>
      </w:r>
      <w:r>
        <w:rPr>
          <w:rFonts w:ascii="Times New Roman" w:hAnsi="Times New Roman" w:cs="Times New Roman"/>
          <w:b w:val="0"/>
          <w:bCs w:val="0"/>
        </w:rPr>
        <w:t xml:space="preserve">в</w:t>
      </w:r>
      <w:r>
        <w:rPr>
          <w:rFonts w:ascii="Times New Roman" w:hAnsi="Times New Roman" w:cs="Times New Roman"/>
          <w:b w:val="0"/>
          <w:bCs w:val="0"/>
        </w:rPr>
        <w:t xml:space="preserve"> юридических лиц.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ind w:firstLine="567"/>
      </w:pPr>
      <w:r/>
      <w:r/>
    </w:p>
    <w:p>
      <w:pPr>
        <w:pStyle w:val="1148"/>
        <w:numPr>
          <w:ilvl w:val="0"/>
          <w:numId w:val="1"/>
        </w:numPr>
        <w:ind w:left="0" w:firstLine="567"/>
        <w:jc w:val="left"/>
        <w:keepNext w:val="0"/>
        <w:spacing w:before="0" w:after="0"/>
        <w:rPr>
          <w:sz w:val="24"/>
          <w:szCs w:val="24"/>
        </w:rPr>
      </w:pPr>
      <w:r/>
      <w:bookmarkStart w:id="342" w:name="_Toc27"/>
      <w:r/>
      <w:bookmarkStart w:id="114" w:name="_Ref119430360"/>
      <w:r>
        <w:rPr>
          <w:sz w:val="24"/>
          <w:szCs w:val="24"/>
        </w:rPr>
        <w:t xml:space="preserve">ПОРЯДОК ПРОВ</w:t>
      </w:r>
      <w:r>
        <w:rPr>
          <w:sz w:val="24"/>
          <w:szCs w:val="24"/>
        </w:rPr>
        <w:t xml:space="preserve">ЕДЕНИЯ ЗАКУПКИ</w:t>
      </w:r>
      <w:r>
        <w:rPr>
          <w:sz w:val="24"/>
          <w:szCs w:val="24"/>
        </w:rPr>
      </w:r>
      <w:bookmarkEnd w:id="342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49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343" w:name="_Toc28"/>
      <w:r/>
      <w:bookmarkStart w:id="118" w:name="_Ref125827199"/>
      <w:r/>
      <w:bookmarkEnd w:id="114"/>
      <w:r>
        <w:rPr>
          <w:sz w:val="24"/>
          <w:szCs w:val="24"/>
        </w:rPr>
        <w:t xml:space="preserve">Закупочная комиссия</w:t>
      </w:r>
      <w:r>
        <w:rPr>
          <w:sz w:val="24"/>
          <w:szCs w:val="24"/>
        </w:rPr>
      </w:r>
      <w:bookmarkEnd w:id="343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5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Рассмотрение, оценка и сопоставления заявок осуществляется Закупочной комиссией, осуществляющей свои полномочия в порядке, установленном Положением о закупке Заказчика.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49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344" w:name="_Toc29"/>
      <w:r>
        <w:rPr>
          <w:sz w:val="24"/>
          <w:szCs w:val="24"/>
        </w:rPr>
        <w:t xml:space="preserve">Требования к процедуре рассмотрения, оценки и сопоставления заявок участников закупки</w:t>
      </w:r>
      <w:r>
        <w:rPr>
          <w:sz w:val="24"/>
          <w:szCs w:val="24"/>
        </w:rPr>
      </w:r>
      <w:bookmarkEnd w:id="344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5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Заявки участников рассматриваются в соответствии с требованиями, критериями и порядком оценки заявок, устанавливаемыми в документации о закупке, на основании </w:t>
      </w:r>
      <w:r>
        <w:rPr>
          <w:rFonts w:ascii="Times New Roman" w:hAnsi="Times New Roman" w:cs="Times New Roman"/>
          <w:b w:val="0"/>
          <w:bCs w:val="0"/>
        </w:rPr>
        <w:t xml:space="preserve">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5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</w:t>
      </w:r>
      <w:r>
        <w:rPr>
          <w:rFonts w:ascii="Times New Roman" w:hAnsi="Times New Roman" w:cs="Times New Roman"/>
          <w:b w:val="0"/>
          <w:bCs w:val="0"/>
        </w:rPr>
        <w:t xml:space="preserve">вора требования и осуществлять оценку и сопоставление заявок на участие в закупке по критериям и в порядке, которые не указаны в документации о закупке. Требования, предъявляемые к участникам закупки, к закупаемым товарам, работам, услугам, а также к услов</w:t>
      </w:r>
      <w:r>
        <w:rPr>
          <w:rFonts w:ascii="Times New Roman" w:hAnsi="Times New Roman" w:cs="Times New Roman"/>
          <w:b w:val="0"/>
          <w:bCs w:val="0"/>
        </w:rPr>
        <w:t xml:space="preserve">иям исполнения договора, критерии и порядок оценки и сопоставления заявок на участие в закупке, установленные Заказчиком, применяются в равной степени ко всем участникам закупки, к предлагаемым ими товарам, работам, услугам, к условиям исполнения договора.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5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рамках рассмотрения заявок закупочная комисс</w:t>
      </w:r>
      <w:r>
        <w:rPr>
          <w:rFonts w:ascii="Times New Roman" w:hAnsi="Times New Roman" w:cs="Times New Roman"/>
          <w:b w:val="0"/>
          <w:bCs w:val="0"/>
        </w:rPr>
        <w:t xml:space="preserve">ия вправе направить участнику закупки запрос на разъяснение положений заявки участника, с указанием срока его выполнения. При этом, не допускаются запросы или требования о представлении участником недостающих документов. Не принимаются к рассмотрению докум</w:t>
      </w:r>
      <w:r>
        <w:rPr>
          <w:rFonts w:ascii="Times New Roman" w:hAnsi="Times New Roman" w:cs="Times New Roman"/>
          <w:b w:val="0"/>
          <w:bCs w:val="0"/>
        </w:rPr>
        <w:t xml:space="preserve">енты и сведения, направленные участником в ходе исполнения запроса, которые изменяют существо заявки участника включая изменение коммерческих условий заявки (цены, валюты, сроков и условий поставки, графика поставки или платежа, иных коммерческих условий).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5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Закупочная комиссия откло</w:t>
      </w:r>
      <w:r>
        <w:rPr>
          <w:rFonts w:ascii="Times New Roman" w:hAnsi="Times New Roman" w:cs="Times New Roman"/>
          <w:b w:val="0"/>
          <w:bCs w:val="0"/>
        </w:rPr>
        <w:t xml:space="preserve">няет заявку участника в случаях</w:t>
      </w:r>
      <w:r>
        <w:rPr>
          <w:rFonts w:ascii="Times New Roman" w:hAnsi="Times New Roman" w:cs="Times New Roman"/>
          <w:b w:val="0"/>
          <w:bCs w:val="0"/>
        </w:rPr>
        <w:t xml:space="preserve">: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311"/>
        <w:numPr>
          <w:ilvl w:val="0"/>
          <w:numId w:val="10"/>
        </w:numPr>
        <w:ind w:left="0" w:firstLine="549"/>
        <w:jc w:val="both"/>
      </w:pPr>
      <w:r>
        <w:t xml:space="preserve">в случае, если заявка участника не соответствует требованиям, установленным </w:t>
      </w:r>
      <w:r>
        <w:t xml:space="preserve">извещением и/или документацией о закупке</w:t>
      </w:r>
      <w:r>
        <w:t xml:space="preserve">, в том числе к форме, составу, порядку оформления необходимых сведений и документов, а также в случае несоответствия заявки по сроку действия оферты и случае не предоставления участником закупки обеспечения заявки (если такое требование установлено </w:t>
      </w:r>
      <w:r>
        <w:t xml:space="preserve">извещением и/или документацией о закупке</w:t>
      </w:r>
      <w:r>
        <w:t xml:space="preserve">);</w:t>
      </w:r>
      <w:r/>
    </w:p>
    <w:p>
      <w:pPr>
        <w:pStyle w:val="1311"/>
        <w:numPr>
          <w:ilvl w:val="0"/>
          <w:numId w:val="10"/>
        </w:numPr>
        <w:ind w:left="0" w:firstLine="567"/>
        <w:jc w:val="both"/>
      </w:pPr>
      <w:r>
        <w:t xml:space="preserve">в случае отсутствия в составе </w:t>
      </w:r>
      <w:r>
        <w:t xml:space="preserve">общей</w:t>
      </w:r>
      <w:r>
        <w:t xml:space="preserve"> части заявки документов и сведений, </w:t>
      </w:r>
      <w:r>
        <w:t xml:space="preserve">предусмотренных для предоставления в</w:t>
      </w:r>
      <w:r>
        <w:t xml:space="preserve"> общей</w:t>
      </w:r>
      <w:r>
        <w:t xml:space="preserve"> части заявки, указанных в </w:t>
      </w:r>
      <w:hyperlink w:tooltip="#_Сведения_и_документы," w:anchor="_Сведения_и_документы," w:history="1">
        <w:r>
          <w:rPr>
            <w:rStyle w:val="1218"/>
          </w:rPr>
          <w:t xml:space="preserve">п. 1</w:t>
        </w:r>
        <w:r>
          <w:rPr>
            <w:rStyle w:val="1218"/>
          </w:rPr>
          <w:t xml:space="preserve">7</w:t>
        </w:r>
        <w:r>
          <w:rPr>
            <w:rStyle w:val="1218"/>
          </w:rPr>
          <w:t xml:space="preserve"> части II «ИНФОРМАЦИОННАЯ КАРТА ЗАКУПКИ»</w:t>
        </w:r>
      </w:hyperlink>
      <w:r>
        <w:t xml:space="preserve">;</w:t>
      </w:r>
      <w:r/>
    </w:p>
    <w:p>
      <w:pPr>
        <w:pStyle w:val="1311"/>
        <w:numPr>
          <w:ilvl w:val="0"/>
          <w:numId w:val="10"/>
        </w:numPr>
        <w:ind w:left="0" w:firstLine="567"/>
        <w:jc w:val="both"/>
        <w:rPr>
          <w:rStyle w:val="1218"/>
          <w:color w:val="auto"/>
          <w:u w:val="none"/>
        </w:rPr>
      </w:pPr>
      <w:r>
        <w:t xml:space="preserve">несоответствие участника закупки, в том числе несоответствие лиц (одного или нескольких), выступающих на стороне одного участника закупки, требованиям, установленным в п. </w:t>
      </w:r>
      <w:hyperlink w:tooltip="#_Требования_к_участникам" w:anchor="_Требования_к_участникам" w:history="1">
        <w:r>
          <w:rPr>
            <w:rStyle w:val="1218"/>
          </w:rPr>
          <w:t xml:space="preserve">1.4 части</w:t>
        </w:r>
        <w:r>
          <w:rPr>
            <w:rStyle w:val="1218"/>
          </w:rPr>
          <w:t xml:space="preserve"> I документации о закупке</w:t>
        </w:r>
      </w:hyperlink>
      <w:r>
        <w:rPr>
          <w:rStyle w:val="1218"/>
        </w:rPr>
        <w:t xml:space="preserve">.</w:t>
      </w:r>
      <w:r>
        <w:rPr>
          <w:rStyle w:val="1218"/>
          <w:color w:val="auto"/>
          <w:u w:val="none"/>
        </w:rPr>
      </w:r>
      <w:r>
        <w:rPr>
          <w:rStyle w:val="1218"/>
          <w:color w:val="auto"/>
          <w:u w:val="none"/>
        </w:rPr>
      </w:r>
    </w:p>
    <w:p>
      <w:pPr>
        <w:pStyle w:val="1311"/>
        <w:numPr>
          <w:ilvl w:val="0"/>
          <w:numId w:val="10"/>
        </w:numPr>
        <w:ind w:left="0" w:firstLine="567"/>
        <w:jc w:val="both"/>
      </w:pPr>
      <w:r>
        <w:t xml:space="preserve">несоответствие предлагаемой продукции и/или условий выполнения работ, исполнения договора требованиям, установленным в </w:t>
      </w:r>
      <w:r>
        <w:t xml:space="preserve">частях</w:t>
      </w:r>
      <w:r>
        <w:t xml:space="preserve"> IV – V документации о закупк</w:t>
      </w:r>
      <w:r>
        <w:t xml:space="preserve">е</w:t>
      </w:r>
      <w:r>
        <w:t xml:space="preserve"> и пункта </w:t>
      </w:r>
      <w:hyperlink w:tooltip="#_Предмет_договора_с" w:anchor="_Предмет_договора_с" w:history="1">
        <w:r>
          <w:rPr>
            <w:rStyle w:val="1218"/>
          </w:rPr>
          <w:t xml:space="preserve">3</w:t>
        </w:r>
        <w:r>
          <w:rPr>
            <w:rStyle w:val="1218"/>
          </w:rPr>
          <w:t xml:space="preserve"> части II «ИНФОРМАЦИОННАЯ КАРТА ЗАКУПКИ»</w:t>
        </w:r>
      </w:hyperlink>
      <w:r>
        <w:t xml:space="preserve">, </w:t>
      </w:r>
      <w:hyperlink w:tooltip="#_Место_поставки_товара/" w:anchor="_Место_поставки_товара/" w:history="1">
        <w:r>
          <w:rPr>
            <w:rStyle w:val="1218"/>
          </w:rPr>
          <w:t xml:space="preserve">4 части II «ИНФОРМАЦИОННАЯ КАРТА ЗАКУПКИ»</w:t>
        </w:r>
      </w:hyperlink>
      <w:r>
        <w:t xml:space="preserve">, </w:t>
      </w:r>
      <w:hyperlink w:tooltip="#_Сроки_поставки_товара/" w:anchor="_Сроки_поставки_товара/" w:history="1">
        <w:r>
          <w:rPr>
            <w:rStyle w:val="1218"/>
          </w:rPr>
          <w:t xml:space="preserve">5</w:t>
        </w:r>
        <w:r>
          <w:rPr>
            <w:rStyle w:val="1218"/>
          </w:rPr>
          <w:t xml:space="preserve"> части II «ИНФОРМАЦИОННАЯ КАРТА ЗАКУПКИ»</w:t>
        </w:r>
      </w:hyperlink>
      <w:r>
        <w:rPr>
          <w:rStyle w:val="1218"/>
        </w:rPr>
        <w:t xml:space="preserve">.</w:t>
      </w:r>
      <w:r/>
    </w:p>
    <w:p>
      <w:pPr>
        <w:pStyle w:val="1311"/>
        <w:numPr>
          <w:ilvl w:val="0"/>
          <w:numId w:val="10"/>
        </w:numPr>
        <w:ind w:left="0" w:firstLine="567"/>
        <w:jc w:val="both"/>
        <w:tabs>
          <w:tab w:val="left" w:pos="1418" w:leader="none"/>
        </w:tabs>
      </w:pPr>
      <w:r>
        <w:rPr>
          <w:bCs/>
        </w:rPr>
        <w:t xml:space="preserve">несоответствие заявки участника требованиям, установленным в Закупочной документации, в том числе требования к содержанию и оформлению заявки, не соответствия по сроку действия оферты;</w:t>
      </w:r>
      <w:r/>
    </w:p>
    <w:p>
      <w:pPr>
        <w:pStyle w:val="1311"/>
        <w:numPr>
          <w:ilvl w:val="0"/>
          <w:numId w:val="10"/>
        </w:numPr>
        <w:ind w:left="0" w:firstLine="567"/>
        <w:jc w:val="both"/>
        <w:tabs>
          <w:tab w:val="left" w:pos="1418" w:leader="none"/>
        </w:tabs>
      </w:pPr>
      <w:r>
        <w:rPr>
          <w:bCs/>
        </w:rPr>
        <w:t xml:space="preserve">не предоставления Участником закупки обеспечения заявки либо предоставление обеспечения заявки не соответствующего требованиям настоящей документации (в случае если требование о предоставлении обеспечения заявки установлено в </w:t>
      </w:r>
      <w:hyperlink w:tooltip="#_Размер_обеспечения_заявок" w:anchor="_Размер_обеспечения_заявок" w:history="1">
        <w:r>
          <w:rPr>
            <w:rStyle w:val="1218"/>
          </w:rPr>
          <w:t xml:space="preserve">п. </w:t>
        </w:r>
        <w:r>
          <w:rPr>
            <w:rStyle w:val="1218"/>
          </w:rPr>
          <w:t xml:space="preserve">11</w:t>
        </w:r>
        <w:r>
          <w:rPr>
            <w:rStyle w:val="1218"/>
          </w:rPr>
          <w:t xml:space="preserve"> части II «ИНФОРМАЦИОННАЯ КАРТА ЗАКУПКИ»</w:t>
        </w:r>
      </w:hyperlink>
      <w:r>
        <w:rPr>
          <w:rStyle w:val="1218"/>
        </w:rPr>
        <w:t xml:space="preserve">;</w:t>
      </w:r>
      <w:r/>
    </w:p>
    <w:p>
      <w:pPr>
        <w:pStyle w:val="1311"/>
        <w:numPr>
          <w:ilvl w:val="0"/>
          <w:numId w:val="10"/>
        </w:numPr>
        <w:ind w:left="0" w:firstLine="567"/>
        <w:jc w:val="both"/>
        <w:tabs>
          <w:tab w:val="left" w:pos="1418" w:leader="none"/>
        </w:tabs>
      </w:pPr>
      <w:r>
        <w:t xml:space="preserve">цена заявки участника превышает </w:t>
      </w:r>
      <w:r>
        <w:t xml:space="preserve">установленную в </w:t>
      </w:r>
      <w:hyperlink w:tooltip="#_Сведения_о_начальной" w:anchor="_Сведения_о_начальной" w:history="1">
        <w:r>
          <w:rPr>
            <w:rStyle w:val="1218"/>
          </w:rPr>
          <w:t xml:space="preserve">п. </w:t>
        </w:r>
        <w:r>
          <w:rPr>
            <w:rStyle w:val="1218"/>
          </w:rPr>
          <w:t xml:space="preserve">7</w:t>
        </w:r>
        <w:r>
          <w:rPr>
            <w:rStyle w:val="1218"/>
          </w:rPr>
          <w:t xml:space="preserve"> части II «ИНФОРМАЦИОННАЯ КАРТА ЗАКУПКИ»</w:t>
        </w:r>
      </w:hyperlink>
      <w:r>
        <w:t xml:space="preserve"> </w:t>
      </w:r>
      <w:r>
        <w:t xml:space="preserve">начальную (максимальную) цену договора (цену лота</w:t>
      </w:r>
      <w:r>
        <w:t xml:space="preserve">),</w:t>
      </w:r>
      <w:r>
        <w:rPr>
          <w:rFonts w:asciiTheme="minorHAnsi" w:hAnsiTheme="minorHAnsi" w:eastAsiaTheme="minorHAnsi" w:cstheme="minorBidi"/>
          <w:sz w:val="22"/>
          <w:szCs w:val="22"/>
          <w:lang w:eastAsia="en-US"/>
        </w:rPr>
        <w:t xml:space="preserve"> </w:t>
      </w:r>
      <w:r>
        <w:t xml:space="preserve">а также в случае превышения единичных расценок участником закупки</w:t>
      </w:r>
      <w:r>
        <w:t xml:space="preserve">, </w:t>
      </w:r>
      <w:r>
        <w:t xml:space="preserve">указанных в </w:t>
      </w:r>
      <w:hyperlink w:tooltip="#P132" w:anchor="P132" w:history="1">
        <w:r>
          <w:rPr>
            <w:rStyle w:val="1218"/>
          </w:rPr>
          <w:t xml:space="preserve">п. 1.3.2 части </w:t>
        </w:r>
        <w:r>
          <w:rPr>
            <w:rStyle w:val="1218"/>
            <w:lang w:val="en-US"/>
          </w:rPr>
          <w:t xml:space="preserve">I</w:t>
        </w:r>
        <w:r>
          <w:rPr>
            <w:rStyle w:val="1218"/>
          </w:rPr>
          <w:t xml:space="preserve"> «ОБЩИЕ УСЛОВИЯ ПРОВЕДЕНИЯ ЗАКУПКИ»</w:t>
        </w:r>
      </w:hyperlink>
      <w:r>
        <w:t xml:space="preserve">;</w:t>
      </w:r>
      <w:r/>
    </w:p>
    <w:p>
      <w:pPr>
        <w:pStyle w:val="1311"/>
        <w:numPr>
          <w:ilvl w:val="0"/>
          <w:numId w:val="10"/>
        </w:numPr>
        <w:ind w:left="0" w:firstLine="567"/>
        <w:jc w:val="both"/>
      </w:pPr>
      <w:r>
        <w:t xml:space="preserve">наличие в составе заявки недостоверных сведений</w:t>
      </w:r>
      <w:r>
        <w:t xml:space="preserve">.</w:t>
      </w:r>
      <w:r/>
    </w:p>
    <w:p>
      <w:pPr>
        <w:pStyle w:val="115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</w:t>
      </w:r>
      <w:r>
        <w:rPr>
          <w:rFonts w:ascii="Times New Roman" w:hAnsi="Times New Roman" w:cs="Times New Roman"/>
          <w:b w:val="0"/>
          <w:bCs w:val="0"/>
        </w:rPr>
        <w:t xml:space="preserve">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5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5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311"/>
        <w:numPr>
          <w:ilvl w:val="0"/>
          <w:numId w:val="40"/>
        </w:numPr>
        <w:ind w:left="0" w:firstLine="567"/>
        <w:tabs>
          <w:tab w:val="left" w:pos="993" w:leader="none"/>
        </w:tabs>
      </w:pPr>
      <w:r>
        <w:t xml:space="preserve">о признании участника и/или заявки участника соответствующей требованиям документации о закупке;</w:t>
      </w:r>
      <w:r/>
    </w:p>
    <w:p>
      <w:pPr>
        <w:pStyle w:val="1311"/>
        <w:numPr>
          <w:ilvl w:val="0"/>
          <w:numId w:val="40"/>
        </w:numPr>
        <w:ind w:left="0" w:firstLine="567"/>
        <w:tabs>
          <w:tab w:val="left" w:pos="993" w:leader="none"/>
        </w:tabs>
      </w:pPr>
      <w:r>
        <w:t xml:space="preserve">о признании участника и/или заявки участника несоответствующими требованиям документации о закупке и отклонении заявки участника от участия в закупке.</w:t>
      </w:r>
      <w:r/>
    </w:p>
    <w:p>
      <w:pPr>
        <w:pStyle w:val="115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Если до за</w:t>
      </w:r>
      <w:r>
        <w:rPr>
          <w:rFonts w:ascii="Times New Roman" w:hAnsi="Times New Roman" w:cs="Times New Roman"/>
          <w:b w:val="0"/>
          <w:bCs w:val="0"/>
        </w:rPr>
        <w:t xml:space="preserve">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</w:t>
      </w:r>
      <w:r>
        <w:rPr>
          <w:rFonts w:ascii="Times New Roman" w:hAnsi="Times New Roman" w:cs="Times New Roman"/>
          <w:b w:val="0"/>
          <w:bCs w:val="0"/>
        </w:rPr>
        <w:t xml:space="preserve">упки (единственного участника закупки, соответствующего требованиям документации о закупке) 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49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345" w:name="_Toc30"/>
      <w:r>
        <w:rPr>
          <w:sz w:val="24"/>
          <w:szCs w:val="24"/>
        </w:rPr>
        <w:t xml:space="preserve">Критерии оценки заявок участников закупки</w:t>
      </w:r>
      <w:r>
        <w:rPr>
          <w:sz w:val="24"/>
          <w:szCs w:val="24"/>
        </w:rPr>
      </w:r>
      <w:bookmarkEnd w:id="345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5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Заявки участников закупки оцениваются исходя из критериев и в порядке, установленном в </w:t>
      </w:r>
      <w:hyperlink w:tooltip="#_Приложение_№_1" w:anchor="_Приложение_№_1" w:history="1">
        <w:r>
          <w:rPr>
            <w:rStyle w:val="1218"/>
            <w:rFonts w:ascii="Times New Roman" w:hAnsi="Times New Roman" w:cs="Times New Roman"/>
            <w:b w:val="0"/>
            <w:bCs w:val="0"/>
          </w:rPr>
          <w:t xml:space="preserve">приложении 1 части II «ИНФОРМАЦИОННАЯ КАРТА ЗАКУПКИ»</w:t>
        </w:r>
      </w:hyperlink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5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Рассмотрение, оценка и сопоставления заявок участников осуществляется в рамках проведения этапов закупки, установленных в </w:t>
      </w:r>
      <w:hyperlink w:tooltip="#_Порядок,_дата_начала," w:anchor="_Порядок,_дата_начала," w:history="1">
        <w:r>
          <w:rPr>
            <w:rStyle w:val="1218"/>
            <w:rFonts w:ascii="Times New Roman" w:hAnsi="Times New Roman" w:cs="Times New Roman"/>
            <w:b w:val="0"/>
            <w:bCs w:val="0"/>
          </w:rPr>
          <w:t xml:space="preserve">пункте </w:t>
        </w:r>
        <w:r>
          <w:rPr>
            <w:rStyle w:val="1218"/>
            <w:rFonts w:ascii="Times New Roman" w:hAnsi="Times New Roman" w:cs="Times New Roman"/>
            <w:b w:val="0"/>
            <w:bCs w:val="0"/>
          </w:rPr>
          <w:t xml:space="preserve">9</w:t>
        </w:r>
        <w:r>
          <w:rPr>
            <w:rStyle w:val="1218"/>
            <w:rFonts w:ascii="Times New Roman" w:hAnsi="Times New Roman" w:cs="Times New Roman"/>
            <w:b w:val="0"/>
            <w:bCs w:val="0"/>
          </w:rPr>
          <w:t xml:space="preserve"> части II «ИНФОРМАЦИОННАЯ КАРТА ЗАКУПКИ»</w:t>
        </w:r>
      </w:hyperlink>
      <w:r>
        <w:rPr>
          <w:rFonts w:ascii="Times New Roman" w:hAnsi="Times New Roman" w:cs="Times New Roman"/>
          <w:b w:val="0"/>
          <w:bCs w:val="0"/>
        </w:rPr>
        <w:t xml:space="preserve"> с учетом сведений и документов, содержащихся в заявках участников закупок, нап</w:t>
      </w:r>
      <w:r>
        <w:rPr>
          <w:rFonts w:ascii="Times New Roman" w:hAnsi="Times New Roman" w:cs="Times New Roman"/>
          <w:b w:val="0"/>
          <w:bCs w:val="0"/>
        </w:rPr>
        <w:t xml:space="preserve">равляемых Заказчику оператором </w:t>
      </w:r>
      <w:r>
        <w:rPr>
          <w:rFonts w:ascii="Times New Roman" w:hAnsi="Times New Roman" w:cs="Times New Roman"/>
          <w:b w:val="0"/>
          <w:bCs w:val="0"/>
        </w:rPr>
        <w:t xml:space="preserve">ЭТП в по</w:t>
      </w:r>
      <w:r>
        <w:rPr>
          <w:rFonts w:ascii="Times New Roman" w:hAnsi="Times New Roman" w:cs="Times New Roman"/>
          <w:b w:val="0"/>
          <w:bCs w:val="0"/>
        </w:rPr>
        <w:t xml:space="preserve">рядке и в соответствии с требованиями, установленными законодательством о закупках отдельными видами юридических лиц. При этом по результатам каждого этапа закупки составляется отдельный протокол, составляемый в соответствии с требованиями, установленными </w:t>
      </w:r>
      <w:hyperlink r:id="rId26" w:tooltip="http://www.consultant.ru/document/cons_doc_LAW_116964/" w:history="1">
        <w:r>
          <w:rPr>
            <w:rStyle w:val="1218"/>
            <w:rFonts w:ascii="Times New Roman" w:hAnsi="Times New Roman" w:cs="Times New Roman"/>
            <w:b w:val="0"/>
            <w:bCs w:val="0"/>
          </w:rPr>
          <w:t xml:space="preserve">Законом 223-ФЗ</w:t>
        </w:r>
      </w:hyperlink>
      <w:r>
        <w:rPr>
          <w:rFonts w:ascii="Times New Roman" w:hAnsi="Times New Roman" w:cs="Times New Roman"/>
          <w:b w:val="0"/>
          <w:bCs w:val="0"/>
        </w:rPr>
        <w:t xml:space="preserve"> и </w:t>
      </w:r>
      <w:hyperlink r:id="rId27" w:tooltip="https://rosseti-sz.ru/purchase/purchasemanage/pur_docs/" w:history="1">
        <w:r>
          <w:rPr>
            <w:rStyle w:val="1218"/>
            <w:rFonts w:ascii="Times New Roman" w:hAnsi="Times New Roman" w:cs="Times New Roman"/>
            <w:b w:val="0"/>
            <w:bCs w:val="0"/>
          </w:rPr>
          <w:t xml:space="preserve">Положением о закупке</w:t>
        </w:r>
      </w:hyperlink>
      <w:r>
        <w:rPr>
          <w:rFonts w:ascii="Times New Roman" w:hAnsi="Times New Roman" w:cs="Times New Roman"/>
          <w:b w:val="0"/>
          <w:bCs w:val="0"/>
        </w:rPr>
        <w:t xml:space="preserve"> Заказчика. Протокол по результатам последнего этапа не составляется. По окончании последнего этапа закупки, по итогам которого определяется победитель, составляется итоговый протокол.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5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 </w:t>
      </w:r>
      <w:r>
        <w:rPr>
          <w:rFonts w:ascii="Times New Roman" w:hAnsi="Times New Roman" w:cs="Times New Roman"/>
          <w:b w:val="0"/>
          <w:bCs w:val="0"/>
        </w:rPr>
        <w:t xml:space="preserve">Победителем закупки признается участник закупк</w:t>
      </w:r>
      <w:r>
        <w:rPr>
          <w:rFonts w:ascii="Times New Roman" w:hAnsi="Times New Roman" w:cs="Times New Roman"/>
          <w:b w:val="0"/>
          <w:bCs w:val="0"/>
        </w:rPr>
        <w:t xml:space="preserve">и, заявка на участие в закупке</w:t>
      </w:r>
      <w:r>
        <w:rPr>
          <w:rFonts w:ascii="Times New Roman" w:hAnsi="Times New Roman" w:cs="Times New Roman"/>
          <w:b w:val="0"/>
          <w:bCs w:val="0"/>
        </w:rPr>
        <w:t xml:space="preserve">, окончательное предложение</w:t>
      </w:r>
      <w:r>
        <w:rPr>
          <w:rFonts w:ascii="Times New Roman" w:hAnsi="Times New Roman" w:cs="Times New Roman"/>
          <w:b w:val="0"/>
          <w:bCs w:val="0"/>
        </w:rPr>
        <w:t xml:space="preserve"> которого соответствует требованиям, установленным документацией о закупке, и заявка</w:t>
      </w:r>
      <w:r>
        <w:rPr>
          <w:rFonts w:ascii="Times New Roman" w:hAnsi="Times New Roman" w:cs="Times New Roman"/>
          <w:b w:val="0"/>
          <w:bCs w:val="0"/>
        </w:rPr>
        <w:t xml:space="preserve">, окончательное предложение</w:t>
      </w:r>
      <w:r>
        <w:rPr>
          <w:rFonts w:ascii="Times New Roman" w:hAnsi="Times New Roman" w:cs="Times New Roman"/>
          <w:b w:val="0"/>
          <w:bCs w:val="0"/>
        </w:rPr>
        <w:t xml:space="preserve"> которого по результатам сопоставления заявок</w:t>
      </w:r>
      <w:r>
        <w:rPr>
          <w:rFonts w:ascii="Times New Roman" w:hAnsi="Times New Roman" w:cs="Times New Roman"/>
          <w:b w:val="0"/>
          <w:bCs w:val="0"/>
        </w:rPr>
        <w:t xml:space="preserve">, окончательных предложений</w:t>
      </w:r>
      <w:r>
        <w:rPr>
          <w:rFonts w:ascii="Times New Roman" w:hAnsi="Times New Roman" w:cs="Times New Roman"/>
          <w:b w:val="0"/>
          <w:bCs w:val="0"/>
        </w:rPr>
        <w:t xml:space="preserve"> на основании указанных в документации о такой закупке критериев оценки содержит лучшие условия исполнения договора.</w:t>
      </w:r>
      <w:r>
        <w:rPr>
          <w:b w:val="0"/>
        </w:rPr>
        <w:t xml:space="preserve"> </w:t>
      </w:r>
      <w:r>
        <w:rPr>
          <w:rFonts w:ascii="Times New Roman" w:hAnsi="Times New Roman" w:cs="Times New Roman"/>
          <w:b w:val="0"/>
        </w:rPr>
        <w:t xml:space="preserve">В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49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346" w:name="_Toc31"/>
      <w:r>
        <w:rPr>
          <w:sz w:val="24"/>
          <w:szCs w:val="24"/>
        </w:rPr>
        <w:t xml:space="preserve">Особенно</w:t>
      </w:r>
      <w:r>
        <w:rPr>
          <w:sz w:val="24"/>
          <w:szCs w:val="24"/>
        </w:rPr>
        <w:t xml:space="preserve">сти осуществления рассмотрения общих</w:t>
      </w:r>
      <w:r>
        <w:rPr>
          <w:sz w:val="24"/>
          <w:szCs w:val="24"/>
        </w:rPr>
        <w:t xml:space="preserve"> частей заявок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bookmarkEnd w:id="346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5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Закупочная комиссия рассматривает </w:t>
      </w:r>
      <w:r>
        <w:rPr>
          <w:rFonts w:ascii="Times New Roman" w:hAnsi="Times New Roman" w:cs="Times New Roman"/>
          <w:b w:val="0"/>
          <w:bCs w:val="0"/>
        </w:rPr>
        <w:t xml:space="preserve">общие</w:t>
      </w:r>
      <w:r>
        <w:rPr>
          <w:rFonts w:ascii="Times New Roman" w:hAnsi="Times New Roman" w:cs="Times New Roman"/>
          <w:b w:val="0"/>
          <w:bCs w:val="0"/>
        </w:rPr>
        <w:t xml:space="preserve"> части заявок участников на предмет их </w:t>
      </w:r>
      <w:r>
        <w:rPr>
          <w:rFonts w:ascii="Times New Roman" w:hAnsi="Times New Roman" w:cs="Times New Roman"/>
          <w:b w:val="0"/>
          <w:bCs w:val="0"/>
        </w:rPr>
        <w:t xml:space="preserve">соответствия требованиям, установленным документацией о закупке.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5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Закупочная комиссия отклоняет заявку участника на этапе рассмотрения </w:t>
      </w:r>
      <w:r>
        <w:rPr>
          <w:rFonts w:ascii="Times New Roman" w:hAnsi="Times New Roman" w:cs="Times New Roman"/>
          <w:b w:val="0"/>
        </w:rPr>
        <w:t xml:space="preserve">общих</w:t>
      </w:r>
      <w:r>
        <w:rPr>
          <w:rFonts w:ascii="Times New Roman" w:hAnsi="Times New Roman" w:cs="Times New Roman"/>
          <w:b w:val="0"/>
        </w:rPr>
        <w:t xml:space="preserve"> частей заявок по следующим основаниям: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1311"/>
        <w:numPr>
          <w:ilvl w:val="0"/>
          <w:numId w:val="31"/>
        </w:numPr>
        <w:ind w:left="0" w:firstLine="567"/>
        <w:jc w:val="both"/>
        <w:tabs>
          <w:tab w:val="left" w:pos="1418" w:leader="none"/>
        </w:tabs>
      </w:pPr>
      <w:r>
        <w:t xml:space="preserve">в случае отсутствия в составе </w:t>
      </w:r>
      <w:r>
        <w:t xml:space="preserve">общей</w:t>
      </w:r>
      <w:r>
        <w:t xml:space="preserve"> части заявки документов и сведений, </w:t>
      </w:r>
      <w:r>
        <w:t xml:space="preserve">предусмотренных для предоставления в</w:t>
      </w:r>
      <w:r>
        <w:t xml:space="preserve"> общей</w:t>
      </w:r>
      <w:r>
        <w:t xml:space="preserve"> части заявки, указанных в </w:t>
      </w:r>
      <w:hyperlink w:tooltip="#_Сведения_и_документы," w:anchor="_Сведения_и_документы," w:history="1">
        <w:r>
          <w:rPr>
            <w:rStyle w:val="1218"/>
          </w:rPr>
          <w:t xml:space="preserve">п. 1</w:t>
        </w:r>
        <w:r>
          <w:rPr>
            <w:rStyle w:val="1218"/>
          </w:rPr>
          <w:t xml:space="preserve">7</w:t>
        </w:r>
        <w:r>
          <w:rPr>
            <w:rStyle w:val="1218"/>
          </w:rPr>
          <w:t xml:space="preserve"> части II «ИНФОРМАЦИОННАЯ КАРТА ЗАКУПКИ»</w:t>
        </w:r>
      </w:hyperlink>
      <w:r>
        <w:t xml:space="preserve">;</w:t>
      </w:r>
      <w:r/>
    </w:p>
    <w:p>
      <w:pPr>
        <w:pStyle w:val="1311"/>
        <w:numPr>
          <w:ilvl w:val="0"/>
          <w:numId w:val="31"/>
        </w:numPr>
        <w:ind w:left="0" w:firstLine="567"/>
        <w:jc w:val="both"/>
        <w:tabs>
          <w:tab w:val="left" w:pos="1418" w:leader="none"/>
        </w:tabs>
      </w:pPr>
      <w:r>
        <w:t xml:space="preserve">несоответствие участника закупки, в том числе несоответствие лиц (одного или нескольких), выступающих на стороне одного участника закупки, требованиям, установленным в п. </w:t>
      </w:r>
      <w:hyperlink w:tooltip="#_Требования_к_участникам" w:anchor="_Требования_к_участникам" w:history="1">
        <w:r>
          <w:rPr>
            <w:rStyle w:val="1218"/>
          </w:rPr>
          <w:t xml:space="preserve">1.4 </w:t>
        </w:r>
        <w:r>
          <w:rPr>
            <w:rStyle w:val="1218"/>
          </w:rPr>
          <w:t xml:space="preserve">части </w:t>
        </w:r>
        <w:r>
          <w:rPr>
            <w:rStyle w:val="1218"/>
          </w:rPr>
          <w:t xml:space="preserve">I документации о закупке</w:t>
        </w:r>
      </w:hyperlink>
      <w:r>
        <w:t xml:space="preserve">;</w:t>
      </w:r>
      <w:r/>
    </w:p>
    <w:p>
      <w:pPr>
        <w:pStyle w:val="1311"/>
        <w:numPr>
          <w:ilvl w:val="0"/>
          <w:numId w:val="31"/>
        </w:numPr>
        <w:ind w:left="0" w:firstLine="567"/>
        <w:jc w:val="both"/>
        <w:tabs>
          <w:tab w:val="left" w:pos="1418" w:leader="none"/>
        </w:tabs>
      </w:pPr>
      <w:r>
        <w:t xml:space="preserve">несоответствие предлагаемой продукции и/или условий выполнения работ, исполнения договора требованиям, установленным в </w:t>
      </w:r>
      <w:r>
        <w:t xml:space="preserve">частях</w:t>
      </w:r>
      <w:r>
        <w:t xml:space="preserve"> </w:t>
      </w:r>
      <w:hyperlink w:tooltip="#_ФОРМА_15._Справка" w:anchor="_ФОРМА_15._Справка" w:history="1">
        <w:r>
          <w:rPr>
            <w:rStyle w:val="1218"/>
          </w:rPr>
          <w:t xml:space="preserve">IV – V документации о закупке</w:t>
        </w:r>
      </w:hyperlink>
      <w:r>
        <w:t xml:space="preserve"> и пункта </w:t>
      </w:r>
      <w:hyperlink w:tooltip="#_Предмет_договора_с" w:anchor="_Предмет_договора_с" w:history="1">
        <w:r>
          <w:rPr>
            <w:rStyle w:val="1218"/>
          </w:rPr>
          <w:t xml:space="preserve">3</w:t>
        </w:r>
        <w:r>
          <w:rPr>
            <w:rStyle w:val="1218"/>
          </w:rPr>
          <w:t xml:space="preserve"> части II «ИНФОРМАЦИОННАЯ КАРТА ЗАКУПКИ»</w:t>
        </w:r>
      </w:hyperlink>
      <w:r>
        <w:t xml:space="preserve">, </w:t>
      </w:r>
      <w:hyperlink w:tooltip="#_Место_поставки_товара/" w:anchor="_Место_поставки_товара/" w:history="1">
        <w:r>
          <w:rPr>
            <w:rStyle w:val="1218"/>
          </w:rPr>
          <w:t xml:space="preserve">4 части II «ИНФОРМАЦИОННАЯ КАРТА ЗАКУПКИ»</w:t>
        </w:r>
      </w:hyperlink>
      <w:r>
        <w:t xml:space="preserve">, </w:t>
      </w:r>
      <w:hyperlink w:tooltip="#_Сроки_поставки_товара/" w:anchor="_Сроки_поставки_товара/" w:history="1">
        <w:r>
          <w:rPr>
            <w:rStyle w:val="1218"/>
          </w:rPr>
          <w:t xml:space="preserve">5</w:t>
        </w:r>
        <w:r>
          <w:rPr>
            <w:rStyle w:val="1218"/>
          </w:rPr>
          <w:t xml:space="preserve"> части II «ИНФОРМАЦИОННАЯ КАРТА ЗАКУПКИ»</w:t>
        </w:r>
      </w:hyperlink>
      <w:r>
        <w:t xml:space="preserve">;</w:t>
      </w:r>
      <w:r/>
    </w:p>
    <w:p>
      <w:pPr>
        <w:pStyle w:val="1311"/>
        <w:numPr>
          <w:ilvl w:val="0"/>
          <w:numId w:val="31"/>
        </w:numPr>
        <w:ind w:left="0" w:firstLine="567"/>
        <w:jc w:val="both"/>
        <w:tabs>
          <w:tab w:val="left" w:pos="1418" w:leader="none"/>
        </w:tabs>
      </w:pPr>
      <w:r>
        <w:rPr>
          <w:bCs/>
        </w:rPr>
        <w:t xml:space="preserve">не предоставления Участником закупки обеспечения заявки либо предоставление обеспечения заявки не соответствующего требованиям настоящей документации (в случае если требование о предоставлении обеспечения заявки установлено в </w:t>
      </w:r>
      <w:hyperlink w:tooltip="#_Размер_обеспечения_заявок" w:anchor="_Размер_обеспечения_заявок" w:history="1">
        <w:r>
          <w:rPr>
            <w:rStyle w:val="1218"/>
          </w:rPr>
          <w:t xml:space="preserve">п. </w:t>
        </w:r>
        <w:r>
          <w:rPr>
            <w:rStyle w:val="1218"/>
          </w:rPr>
          <w:t xml:space="preserve">11</w:t>
        </w:r>
        <w:r>
          <w:rPr>
            <w:rStyle w:val="1218"/>
          </w:rPr>
          <w:t xml:space="preserve"> части II «ИНФОРМАЦИОННАЯ КАРТА ЗАКУПКИ»</w:t>
        </w:r>
      </w:hyperlink>
      <w:r>
        <w:rPr>
          <w:rStyle w:val="1218"/>
        </w:rPr>
        <w:t xml:space="preserve">;</w:t>
      </w:r>
      <w:r/>
    </w:p>
    <w:p>
      <w:pPr>
        <w:pStyle w:val="1311"/>
        <w:numPr>
          <w:ilvl w:val="0"/>
          <w:numId w:val="31"/>
        </w:numPr>
        <w:ind w:left="0" w:firstLine="567"/>
        <w:jc w:val="both"/>
        <w:tabs>
          <w:tab w:val="left" w:pos="1418" w:leader="none"/>
        </w:tabs>
      </w:pPr>
      <w:r>
        <w:rPr>
          <w:bCs/>
        </w:rPr>
        <w:t xml:space="preserve">несоответствие заявки участника требованиям, установленным в Закупочной документации, в том числе требования к содержанию и оформлению заявки, не соответствия по сроку действия оферты;</w:t>
      </w:r>
      <w:r/>
    </w:p>
    <w:p>
      <w:pPr>
        <w:pStyle w:val="1311"/>
        <w:numPr>
          <w:ilvl w:val="0"/>
          <w:numId w:val="31"/>
        </w:numPr>
        <w:ind w:left="0" w:firstLine="567"/>
        <w:jc w:val="both"/>
        <w:tabs>
          <w:tab w:val="left" w:pos="1418" w:leader="none"/>
        </w:tabs>
      </w:pPr>
      <w:r>
        <w:t xml:space="preserve">наличие в составе заявки недостоверных сведений.</w:t>
      </w:r>
      <w:r/>
    </w:p>
    <w:p>
      <w:pPr>
        <w:pStyle w:val="1149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347" w:name="_Toc32"/>
      <w:r>
        <w:rPr>
          <w:sz w:val="24"/>
          <w:szCs w:val="24"/>
        </w:rPr>
        <w:t xml:space="preserve">Особенности осуществления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рассмотрения и сопоставления ценовых предложений участников закупки</w:t>
      </w:r>
      <w:r>
        <w:rPr>
          <w:sz w:val="24"/>
          <w:szCs w:val="24"/>
        </w:rPr>
      </w:r>
      <w:bookmarkEnd w:id="347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5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Рассмотрение</w:t>
      </w:r>
      <w:r>
        <w:rPr>
          <w:rFonts w:ascii="Times New Roman" w:hAnsi="Times New Roman" w:cs="Times New Roman"/>
          <w:b w:val="0"/>
          <w:bCs w:val="0"/>
        </w:rPr>
        <w:t xml:space="preserve"> ценовых предложений, дополнительных</w:t>
      </w:r>
      <w:r>
        <w:rPr>
          <w:rFonts w:ascii="Times New Roman" w:hAnsi="Times New Roman" w:cs="Times New Roman"/>
          <w:b w:val="0"/>
          <w:bCs w:val="0"/>
        </w:rPr>
        <w:t xml:space="preserve"> ценовых предложений осуществляется Закупочной комиссией после направления оператором ЭТП результатов сопоставления ценовых предложений, </w:t>
      </w:r>
      <w:r>
        <w:rPr>
          <w:rFonts w:ascii="Times New Roman" w:hAnsi="Times New Roman" w:cs="Times New Roman"/>
          <w:b w:val="0"/>
          <w:bCs w:val="0"/>
        </w:rPr>
        <w:t xml:space="preserve">дополнительных ценовых предложений, </w:t>
      </w:r>
      <w:r>
        <w:rPr>
          <w:rFonts w:ascii="Times New Roman" w:hAnsi="Times New Roman" w:cs="Times New Roman"/>
          <w:b w:val="0"/>
          <w:bCs w:val="0"/>
        </w:rPr>
        <w:t xml:space="preserve">а также информации о</w:t>
      </w:r>
      <w:r>
        <w:rPr>
          <w:rFonts w:ascii="Times New Roman" w:hAnsi="Times New Roman" w:cs="Times New Roman"/>
          <w:b w:val="0"/>
          <w:bCs w:val="0"/>
        </w:rPr>
        <w:t xml:space="preserve"> ценовых предложениях, дополнительных</w:t>
      </w:r>
      <w:r>
        <w:rPr>
          <w:rFonts w:ascii="Times New Roman" w:hAnsi="Times New Roman" w:cs="Times New Roman"/>
          <w:b w:val="0"/>
          <w:bCs w:val="0"/>
        </w:rPr>
        <w:t xml:space="preserve"> ценовых предложениях (далее – ценовые предложения</w:t>
      </w:r>
      <w:r>
        <w:rPr>
          <w:rFonts w:ascii="Times New Roman" w:hAnsi="Times New Roman" w:cs="Times New Roman"/>
          <w:b w:val="0"/>
          <w:bCs w:val="0"/>
        </w:rPr>
        <w:t xml:space="preserve">) каждого участника закупки.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5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Рассмотрение и сопоставление ценовых предложений осуществляется в порядке и в соответствии с требованиями, установленными </w:t>
      </w:r>
      <w:hyperlink w:tooltip="#_Приложение_№_1" w:anchor="_Приложение_№_1" w:history="1">
        <w:r>
          <w:rPr>
            <w:rStyle w:val="1218"/>
            <w:rFonts w:ascii="Times New Roman" w:hAnsi="Times New Roman" w:cs="Times New Roman"/>
            <w:b w:val="0"/>
            <w:bCs w:val="0"/>
          </w:rPr>
          <w:t xml:space="preserve">в приложении 1 части II «ИНФОРМАЦИОННАЯ КАРТА ЗАКУПКИ»</w:t>
        </w:r>
      </w:hyperlink>
      <w:r>
        <w:rPr>
          <w:rFonts w:ascii="Times New Roman" w:hAnsi="Times New Roman" w:cs="Times New Roman"/>
          <w:b w:val="0"/>
          <w:bCs w:val="0"/>
        </w:rPr>
        <w:t xml:space="preserve">, в том числе в части не превышения ценового предложения участника начальной (максимальной) цены договора/цены лота, не превышения единицы продукции (если </w:t>
      </w:r>
      <w:r>
        <w:rPr>
          <w:rFonts w:ascii="Times New Roman" w:hAnsi="Times New Roman" w:cs="Times New Roman"/>
          <w:b w:val="0"/>
          <w:bCs w:val="0"/>
        </w:rPr>
        <w:t xml:space="preserve">такое требование установлено в документации о закупке</w:t>
      </w:r>
      <w:r>
        <w:rPr>
          <w:rFonts w:ascii="Times New Roman" w:hAnsi="Times New Roman" w:cs="Times New Roman"/>
          <w:b w:val="0"/>
          <w:bCs w:val="0"/>
        </w:rPr>
        <w:t xml:space="preserve">)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5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/>
          <w:b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Закупочная комиссия отклоняет заявку участника на этапе рассмотрения </w:t>
      </w:r>
      <w:r>
        <w:rPr>
          <w:rFonts w:ascii="Times New Roman" w:hAnsi="Times New Roman" w:cs="Times New Roman"/>
          <w:b w:val="0"/>
          <w:bCs w:val="0"/>
        </w:rPr>
        <w:t xml:space="preserve">ценовых предложений участников </w:t>
      </w:r>
      <w:r>
        <w:rPr>
          <w:rFonts w:ascii="Times New Roman" w:hAnsi="Times New Roman" w:cs="Times New Roman"/>
          <w:b w:val="0"/>
          <w:bCs w:val="0"/>
        </w:rPr>
        <w:t xml:space="preserve">в случае, если </w:t>
      </w:r>
      <w:r>
        <w:rPr>
          <w:rFonts w:ascii="Times New Roman" w:hAnsi="Times New Roman"/>
          <w:b w:val="0"/>
        </w:rPr>
        <w:t xml:space="preserve">цена заявки участника превышает установленную в </w:t>
      </w:r>
      <w:hyperlink w:tooltip="#_Сведения_о_начальной" w:anchor="_Сведения_о_начальной" w:history="1">
        <w:r>
          <w:rPr>
            <w:rStyle w:val="1218"/>
            <w:rFonts w:ascii="Times New Roman" w:hAnsi="Times New Roman"/>
            <w:b w:val="0"/>
          </w:rPr>
          <w:t xml:space="preserve">п. 7 части II «ИНФОРМАЦИОННАЯ КАРТА ЗАКУПКИ»</w:t>
        </w:r>
      </w:hyperlink>
      <w:r>
        <w:rPr>
          <w:rFonts w:ascii="Times New Roman" w:hAnsi="Times New Roman"/>
          <w:b w:val="0"/>
        </w:rPr>
        <w:t xml:space="preserve"> </w:t>
      </w:r>
      <w:r>
        <w:rPr>
          <w:rFonts w:ascii="Times New Roman" w:hAnsi="Times New Roman" w:cs="Times New Roman"/>
          <w:b w:val="0"/>
          <w:bCs w:val="0"/>
        </w:rPr>
        <w:t xml:space="preserve">начальную (максимальную) цену договора (цену лота)</w:t>
      </w:r>
      <w:r>
        <w:rPr>
          <w:rFonts w:ascii="Times New Roman" w:hAnsi="Times New Roman" w:cs="Times New Roman"/>
          <w:b w:val="0"/>
          <w:bCs w:val="0"/>
        </w:rPr>
        <w:t xml:space="preserve"> </w:t>
      </w:r>
      <w:r>
        <w:rPr>
          <w:rFonts w:ascii="Times New Roman" w:hAnsi="Times New Roman" w:cs="Times New Roman"/>
          <w:b w:val="0"/>
          <w:bCs w:val="0"/>
        </w:rPr>
        <w:t xml:space="preserve">,</w:t>
      </w:r>
      <w:r>
        <w:rPr>
          <w:rFonts w:ascii="Times New Roman" w:hAnsi="Times New Roman" w:cs="Times New Roman"/>
          <w:b w:val="0"/>
          <w:bCs w:val="0"/>
        </w:rPr>
        <w:t xml:space="preserve"> </w:t>
      </w:r>
      <w:r>
        <w:rPr>
          <w:rFonts w:ascii="Times New Roman" w:hAnsi="Times New Roman" w:cs="Times New Roman"/>
          <w:b w:val="0"/>
          <w:bCs w:val="0"/>
        </w:rPr>
        <w:t xml:space="preserve">а также в случае превышения единичных расценок участником закупки, </w:t>
      </w:r>
      <w:r>
        <w:rPr>
          <w:rFonts w:ascii="Times New Roman" w:hAnsi="Times New Roman" w:cs="Times New Roman"/>
          <w:b w:val="0"/>
          <w:bCs w:val="0"/>
        </w:rPr>
        <w:t xml:space="preserve">указанных в </w:t>
      </w:r>
      <w:hyperlink w:tooltip="#P132" w:anchor="P132" w:history="1">
        <w:r>
          <w:rPr>
            <w:rStyle w:val="1218"/>
            <w:rFonts w:ascii="Times New Roman" w:hAnsi="Times New Roman" w:cs="Times New Roman"/>
            <w:b w:val="0"/>
            <w:bCs w:val="0"/>
          </w:rPr>
          <w:t xml:space="preserve">п. 1.3.2 части I «ОБЩИЕ УСЛОВИЯ ПРОВЕДЕНИЯ ЗАКУПКИ»</w:t>
        </w:r>
      </w:hyperlink>
      <w:r>
        <w:rPr>
          <w:rFonts w:ascii="Times New Roman" w:hAnsi="Times New Roman" w:cs="Times New Roman"/>
          <w:b w:val="0"/>
          <w:bCs w:val="0"/>
        </w:rPr>
        <w:t xml:space="preserve"> непредставления документов и сведений, в случае если предоставление таких документов и сведений предусмотрено для предоставления в составе ценового предложения и указано в</w:t>
      </w:r>
      <w:r>
        <w:rPr>
          <w:rFonts w:ascii="Times New Roman" w:hAnsi="Times New Roman" w:cs="Times New Roman"/>
          <w:b w:val="0"/>
        </w:rPr>
        <w:t xml:space="preserve"> </w:t>
      </w:r>
      <w:hyperlink w:tooltip="#_Сведения_и_документы," w:anchor="_Сведения_и_документы," w:history="1">
        <w:r>
          <w:rPr>
            <w:rStyle w:val="1218"/>
            <w:rFonts w:ascii="Times New Roman" w:hAnsi="Times New Roman" w:cs="Times New Roman"/>
            <w:b w:val="0"/>
          </w:rPr>
          <w:t xml:space="preserve">п. 1</w:t>
        </w:r>
        <w:r>
          <w:rPr>
            <w:rStyle w:val="1218"/>
            <w:rFonts w:ascii="Times New Roman" w:hAnsi="Times New Roman" w:cs="Times New Roman"/>
            <w:b w:val="0"/>
          </w:rPr>
          <w:t xml:space="preserve">7</w:t>
        </w:r>
        <w:r>
          <w:rPr>
            <w:rStyle w:val="1218"/>
            <w:rFonts w:ascii="Times New Roman" w:hAnsi="Times New Roman" w:cs="Times New Roman"/>
            <w:b w:val="0"/>
          </w:rPr>
          <w:t xml:space="preserve"> части II «ИНФОРМАЦИОННАЯ КАРТА ЗАКУПКИ»</w:t>
        </w:r>
      </w:hyperlink>
      <w:r>
        <w:rPr>
          <w:rFonts w:ascii="Times New Roman" w:hAnsi="Times New Roman" w:cs="Times New Roman"/>
          <w:color w:val="0000ff"/>
        </w:rPr>
        <w:t xml:space="preserve">. </w:t>
      </w:r>
      <w:r>
        <w:rPr>
          <w:rFonts w:ascii="Times New Roman" w:hAnsi="Times New Roman"/>
          <w:b w:val="0"/>
        </w:rPr>
      </w:r>
      <w:r>
        <w:rPr>
          <w:rFonts w:ascii="Times New Roman" w:hAnsi="Times New Roman"/>
          <w:b w:val="0"/>
        </w:rPr>
      </w:r>
    </w:p>
    <w:p>
      <w:pPr>
        <w:pStyle w:val="115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/>
          <w:b w:val="0"/>
        </w:rPr>
        <w:t xml:space="preserve">В случае</w:t>
      </w:r>
      <w:r>
        <w:rPr>
          <w:rFonts w:ascii="Times New Roman" w:hAnsi="Times New Roman"/>
          <w:b w:val="0"/>
        </w:rPr>
        <w:t xml:space="preserve"> несоответствия цены заявки, указанной на ЭТП и цены </w:t>
      </w:r>
      <w:r>
        <w:rPr>
          <w:rFonts w:ascii="Times New Roman" w:hAnsi="Times New Roman"/>
          <w:b w:val="0"/>
        </w:rPr>
        <w:t xml:space="preserve">заявки,</w:t>
      </w:r>
      <w:r>
        <w:rPr>
          <w:rFonts w:ascii="Times New Roman" w:hAnsi="Times New Roman"/>
          <w:b w:val="0"/>
        </w:rPr>
        <w:t xml:space="preserve"> отраженной в документах</w:t>
      </w:r>
      <w:r>
        <w:rPr>
          <w:rFonts w:ascii="Times New Roman" w:hAnsi="Times New Roman"/>
          <w:b w:val="0"/>
        </w:rPr>
        <w:t xml:space="preserve">, определяющих коммерческое </w:t>
      </w:r>
      <w:r>
        <w:rPr>
          <w:rFonts w:ascii="Times New Roman" w:hAnsi="Times New Roman" w:cs="Times New Roman"/>
          <w:b w:val="0"/>
        </w:rPr>
        <w:t xml:space="preserve">предложение, к учету прин</w:t>
      </w:r>
      <w:r>
        <w:rPr>
          <w:rFonts w:ascii="Times New Roman" w:hAnsi="Times New Roman" w:cs="Times New Roman"/>
          <w:b w:val="0"/>
        </w:rPr>
        <w:t xml:space="preserve">имается цена, указанная на ЭТП.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1149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348" w:name="_Toc33"/>
      <w:r>
        <w:rPr>
          <w:sz w:val="24"/>
          <w:szCs w:val="24"/>
        </w:rPr>
        <w:t xml:space="preserve">Переторжка</w:t>
      </w:r>
      <w:r>
        <w:rPr>
          <w:sz w:val="24"/>
          <w:szCs w:val="24"/>
        </w:rPr>
      </w:r>
      <w:bookmarkEnd w:id="348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5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При проведении </w:t>
      </w:r>
      <w:r>
        <w:rPr>
          <w:rFonts w:ascii="Times New Roman" w:hAnsi="Times New Roman" w:cs="Times New Roman"/>
          <w:b w:val="0"/>
          <w:bCs w:val="0"/>
        </w:rPr>
        <w:t xml:space="preserve">конкурса</w:t>
      </w:r>
      <w:r>
        <w:rPr>
          <w:rFonts w:ascii="Times New Roman" w:hAnsi="Times New Roman" w:cs="Times New Roman"/>
          <w:b w:val="0"/>
          <w:bCs w:val="0"/>
        </w:rPr>
        <w:t xml:space="preserve"> в электронной форме </w:t>
      </w:r>
      <w:r>
        <w:rPr>
          <w:rFonts w:ascii="Times New Roman" w:hAnsi="Times New Roman" w:cs="Times New Roman"/>
          <w:b w:val="0"/>
          <w:bCs w:val="0"/>
        </w:rPr>
        <w:t xml:space="preserve">предусмотрена возможность </w:t>
      </w:r>
      <w:r>
        <w:rPr>
          <w:rFonts w:ascii="Times New Roman" w:hAnsi="Times New Roman" w:cs="Times New Roman"/>
          <w:b w:val="0"/>
          <w:bCs w:val="0"/>
        </w:rPr>
        <w:t xml:space="preserve">проведения </w:t>
      </w:r>
      <w:r>
        <w:rPr>
          <w:rFonts w:ascii="Times New Roman" w:hAnsi="Times New Roman" w:cs="Times New Roman"/>
          <w:b w:val="0"/>
          <w:bCs w:val="0"/>
        </w:rPr>
        <w:t xml:space="preserve">процедуры, направленной на понижение цен, предложенных участниками закупки</w:t>
      </w:r>
      <w:r>
        <w:rPr>
          <w:rFonts w:ascii="Times New Roman" w:hAnsi="Times New Roman" w:cs="Times New Roman"/>
          <w:b w:val="0"/>
          <w:bCs w:val="0"/>
        </w:rPr>
        <w:t xml:space="preserve"> – </w:t>
      </w:r>
      <w:r>
        <w:rPr>
          <w:rFonts w:ascii="Times New Roman" w:hAnsi="Times New Roman" w:cs="Times New Roman"/>
          <w:b w:val="0"/>
          <w:bCs w:val="0"/>
        </w:rPr>
        <w:t xml:space="preserve">переторжка</w:t>
      </w:r>
      <w:r>
        <w:rPr>
          <w:rFonts w:ascii="Times New Roman" w:hAnsi="Times New Roman" w:cs="Times New Roman"/>
          <w:b w:val="0"/>
          <w:bCs w:val="0"/>
        </w:rPr>
        <w:t xml:space="preserve">. Применение процедуры переторжки указывается в пункте </w:t>
      </w:r>
      <w:hyperlink w:tooltip="#_Порядок,_дата_начала," w:anchor="_Порядок,_дата_начала," w:history="1">
        <w:r>
          <w:rPr>
            <w:rStyle w:val="1218"/>
            <w:rFonts w:ascii="Times New Roman" w:hAnsi="Times New Roman" w:cs="Times New Roman"/>
            <w:b w:val="0"/>
            <w:bCs w:val="0"/>
          </w:rPr>
          <w:t xml:space="preserve">9 части II «ИНФОРМАЦИОННАЯ КАРТА ЗАКУПКИ»</w:t>
        </w:r>
      </w:hyperlink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5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Переторжка</w:t>
      </w:r>
      <w:r>
        <w:rPr>
          <w:rFonts w:ascii="Times New Roman" w:hAnsi="Times New Roman" w:cs="Times New Roman"/>
          <w:b w:val="0"/>
          <w:bCs w:val="0"/>
        </w:rPr>
        <w:t xml:space="preserve"> проводится в обязательном порядке если размер начальной (максимальной) цены договора составляет 5 (пять) и более миллионов рублей за исключением случаев, предусмотренных </w:t>
      </w:r>
      <w:hyperlink r:id="rId28" w:tooltip="https://rosseti-sz.ru/purchase/purchasemanage/pur_docs/" w:history="1">
        <w:r>
          <w:rPr>
            <w:rStyle w:val="1218"/>
            <w:rFonts w:ascii="Times New Roman" w:hAnsi="Times New Roman" w:cs="Times New Roman"/>
            <w:b w:val="0"/>
            <w:bCs w:val="0"/>
          </w:rPr>
          <w:t xml:space="preserve">Положением о закупке</w:t>
        </w:r>
      </w:hyperlink>
      <w:r>
        <w:rPr>
          <w:rFonts w:ascii="Times New Roman" w:hAnsi="Times New Roman" w:cs="Times New Roman"/>
          <w:b w:val="0"/>
          <w:bCs w:val="0"/>
        </w:rPr>
        <w:t xml:space="preserve">. </w:t>
      </w:r>
      <w:r>
        <w:rPr>
          <w:rFonts w:ascii="Times New Roman" w:hAnsi="Times New Roman" w:cs="Times New Roman"/>
          <w:b w:val="0"/>
          <w:bCs w:val="0"/>
        </w:rPr>
        <w:t xml:space="preserve">В остальных случаях решение о проведении процедуры переторжки принимается Закупочной комиссией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5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</w:rPr>
        <w:t xml:space="preserve">Переторжка проводится при условии </w:t>
      </w:r>
      <w:r>
        <w:rPr>
          <w:rFonts w:ascii="Times New Roman" w:hAnsi="Times New Roman" w:cs="Times New Roman"/>
          <w:b w:val="0"/>
        </w:rPr>
        <w:t xml:space="preserve">допуска к участию в закупке одного</w:t>
      </w:r>
      <w:r>
        <w:rPr>
          <w:rFonts w:ascii="Times New Roman" w:hAnsi="Times New Roman" w:cs="Times New Roman"/>
          <w:b w:val="0"/>
        </w:rPr>
        <w:t xml:space="preserve"> </w:t>
      </w:r>
      <w:r>
        <w:rPr>
          <w:rFonts w:ascii="Times New Roman" w:hAnsi="Times New Roman" w:cs="Times New Roman"/>
          <w:b w:val="0"/>
        </w:rPr>
        <w:t xml:space="preserve">или</w:t>
      </w:r>
      <w:r>
        <w:rPr>
          <w:rFonts w:ascii="Times New Roman" w:hAnsi="Times New Roman" w:cs="Times New Roman"/>
          <w:b w:val="0"/>
        </w:rPr>
        <w:t xml:space="preserve"> более участников. Участник закупки вправе не участвовать в переторжке, в этом случае его заявка остается действующей с ранее объявленной ценой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5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Переторжка может быть проведена неограниченное количество раз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  <w:t xml:space="preserve"> </w:t>
      </w:r>
      <w:r>
        <w:rPr>
          <w:rFonts w:ascii="Times New Roman" w:hAnsi="Times New Roman" w:cs="Times New Roman"/>
          <w:b w:val="0"/>
          <w:bCs w:val="0"/>
        </w:rPr>
        <w:t xml:space="preserve">Порядок проведения </w:t>
      </w:r>
      <w:r>
        <w:rPr>
          <w:rFonts w:ascii="Times New Roman" w:hAnsi="Times New Roman" w:cs="Times New Roman"/>
          <w:b w:val="0"/>
        </w:rPr>
        <w:t xml:space="preserve">переторжки </w:t>
      </w:r>
      <w:r>
        <w:rPr>
          <w:rFonts w:ascii="Times New Roman" w:hAnsi="Times New Roman" w:cs="Times New Roman"/>
          <w:b w:val="0"/>
        </w:rPr>
        <w:t xml:space="preserve">определяется правилами Э</w:t>
      </w:r>
      <w:r>
        <w:rPr>
          <w:rFonts w:ascii="Times New Roman" w:hAnsi="Times New Roman" w:cs="Times New Roman"/>
          <w:b w:val="0"/>
        </w:rPr>
        <w:t xml:space="preserve">Т</w:t>
      </w:r>
      <w:r>
        <w:rPr>
          <w:rFonts w:ascii="Times New Roman" w:hAnsi="Times New Roman" w:cs="Times New Roman"/>
          <w:b w:val="0"/>
        </w:rPr>
        <w:t xml:space="preserve">П</w:t>
      </w:r>
      <w:r>
        <w:rPr>
          <w:rFonts w:ascii="Times New Roman" w:hAnsi="Times New Roman" w:cs="Times New Roman"/>
          <w:b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5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Переторжка может проводиться в очной (путем возможности неоднократной подачи участниками переторжки ценовых предложений) либо в заочной форме (путем однократной подачи участниками переторжки ценовых предложений)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5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При проведении переторжки в </w:t>
      </w:r>
      <w:r>
        <w:rPr>
          <w:rFonts w:ascii="Times New Roman" w:hAnsi="Times New Roman" w:cs="Times New Roman"/>
          <w:b w:val="0"/>
          <w:bCs w:val="0"/>
        </w:rPr>
        <w:t xml:space="preserve">очной форме шаг переторжки определяется Закупочной комиссией и указывается в пункте </w:t>
      </w:r>
      <w:hyperlink w:tooltip="#_Порядок,_дата_начала," w:anchor="_Порядок,_дата_начала," w:history="1">
        <w:r>
          <w:rPr>
            <w:rStyle w:val="1218"/>
            <w:rFonts w:ascii="Times New Roman" w:hAnsi="Times New Roman" w:cs="Times New Roman"/>
            <w:b w:val="0"/>
            <w:bCs w:val="0"/>
          </w:rPr>
          <w:t xml:space="preserve">9 части II «ИНФОРМАЦИОННАЯ КАРТА ЗАКУПКИ»</w:t>
        </w:r>
      </w:hyperlink>
      <w:r>
        <w:rPr>
          <w:rFonts w:ascii="Times New Roman" w:hAnsi="Times New Roman" w:cs="Times New Roman"/>
          <w:b w:val="0"/>
          <w:sz w:val="28"/>
          <w:szCs w:val="28"/>
        </w:rPr>
        <w:t xml:space="preserve">. </w:t>
      </w:r>
      <w:r>
        <w:rPr>
          <w:rFonts w:ascii="Times New Roman" w:hAnsi="Times New Roman" w:cs="Times New Roman"/>
          <w:b w:val="0"/>
          <w:bCs w:val="0"/>
        </w:rPr>
        <w:t xml:space="preserve">При проведении переторжки в заочной форме шаг переторжки не устанавливается</w:t>
      </w:r>
      <w:r>
        <w:rPr>
          <w:rFonts w:ascii="Times New Roman" w:hAnsi="Times New Roman" w:cs="Times New Roman"/>
          <w:b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5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</w:t>
      </w:r>
      <w:r>
        <w:rPr>
          <w:rFonts w:ascii="Times New Roman" w:hAnsi="Times New Roman" w:cs="Times New Roman"/>
          <w:b w:val="0"/>
          <w:bCs w:val="0"/>
        </w:rPr>
        <w:t xml:space="preserve"> ходе проведения переторжки в очной форме </w:t>
      </w:r>
      <w:r>
        <w:rPr>
          <w:rFonts w:ascii="Times New Roman" w:hAnsi="Times New Roman" w:cs="Times New Roman"/>
          <w:b w:val="0"/>
        </w:rPr>
        <w:t xml:space="preserve">участник вправе подавать ценовые предложения при собственном лидирующем (наилу</w:t>
      </w:r>
      <w:r>
        <w:rPr>
          <w:rFonts w:ascii="Times New Roman" w:hAnsi="Times New Roman" w:cs="Times New Roman"/>
          <w:b w:val="0"/>
        </w:rPr>
        <w:t xml:space="preserve">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5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Изменение цены в сторону снижения не должно повлечь за собой изменение иных условий заявки участника, кроме ценового</w:t>
      </w:r>
      <w:r>
        <w:rPr>
          <w:rFonts w:ascii="Times New Roman" w:hAnsi="Times New Roman"/>
          <w:b w:val="0"/>
        </w:rPr>
        <w:t xml:space="preserve">.</w:t>
      </w:r>
      <w:r>
        <w:rPr>
          <w:rFonts w:ascii="Times New Roman" w:hAnsi="Times New Roman"/>
          <w:b w:val="0"/>
        </w:rPr>
      </w:r>
      <w:r>
        <w:rPr>
          <w:rFonts w:ascii="Times New Roman" w:hAnsi="Times New Roman"/>
          <w:b w:val="0"/>
        </w:rPr>
      </w:r>
    </w:p>
    <w:p>
      <w:pPr>
        <w:pStyle w:val="115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color w:val="000000" w:themeColor="text1"/>
        </w:rPr>
      </w:pPr>
      <w:r>
        <w:rPr>
          <w:rFonts w:ascii="Times New Roman" w:hAnsi="Times New Roman" w:cs="Times New Roman"/>
          <w:b w:val="0"/>
          <w:color w:val="000000" w:themeColor="text1"/>
        </w:rPr>
        <w:t xml:space="preserve"> И</w:t>
      </w:r>
      <w:r>
        <w:rPr>
          <w:rFonts w:ascii="Times New Roman" w:hAnsi="Times New Roman" w:cs="Times New Roman"/>
          <w:b w:val="0"/>
          <w:color w:val="000000" w:themeColor="text1"/>
        </w:rPr>
        <w:t xml:space="preserve">нформация о результатах проведения переторжки формируется оператором </w:t>
      </w:r>
      <w:r>
        <w:rPr>
          <w:rFonts w:ascii="Times New Roman" w:hAnsi="Times New Roman" w:cs="Times New Roman"/>
          <w:b w:val="0"/>
          <w:color w:val="000000" w:themeColor="text1"/>
        </w:rPr>
        <w:t xml:space="preserve">ЭТП </w:t>
      </w:r>
      <w:r>
        <w:rPr>
          <w:rFonts w:ascii="Times New Roman" w:hAnsi="Times New Roman" w:cs="Times New Roman"/>
          <w:b w:val="0"/>
          <w:color w:val="000000" w:themeColor="text1"/>
        </w:rPr>
        <w:t xml:space="preserve"> и размещается Заказчиком на ЕИС, ес</w:t>
      </w:r>
      <w:r>
        <w:rPr>
          <w:rFonts w:ascii="Times New Roman" w:hAnsi="Times New Roman" w:cs="Times New Roman"/>
          <w:b w:val="0"/>
          <w:color w:val="000000" w:themeColor="text1"/>
        </w:rPr>
        <w:t xml:space="preserve">ли иное не определено </w:t>
      </w:r>
      <w:hyperlink r:id="rId29" w:tooltip="https://rosseti-sz.ru/purchase/purchasemanage/pur_docs/" w:history="1">
        <w:r>
          <w:rPr>
            <w:rStyle w:val="1218"/>
            <w:rFonts w:ascii="Times New Roman" w:hAnsi="Times New Roman" w:cs="Times New Roman"/>
            <w:b w:val="0"/>
          </w:rPr>
          <w:t xml:space="preserve">Стандартом</w:t>
        </w:r>
      </w:hyperlink>
      <w:r>
        <w:rPr>
          <w:rFonts w:ascii="Times New Roman" w:hAnsi="Times New Roman" w:cs="Times New Roman"/>
          <w:b w:val="0"/>
          <w:color w:val="000000" w:themeColor="text1"/>
        </w:rPr>
        <w:t xml:space="preserve">.</w:t>
      </w:r>
      <w:r>
        <w:rPr>
          <w:rFonts w:ascii="Times New Roman" w:hAnsi="Times New Roman" w:cs="Times New Roman"/>
          <w:b w:val="0"/>
          <w:color w:val="000000" w:themeColor="text1"/>
        </w:rPr>
      </w:r>
      <w:r>
        <w:rPr>
          <w:rFonts w:ascii="Times New Roman" w:hAnsi="Times New Roman" w:cs="Times New Roman"/>
          <w:b w:val="0"/>
          <w:color w:val="000000" w:themeColor="text1"/>
        </w:rPr>
      </w:r>
    </w:p>
    <w:p>
      <w:pPr>
        <w:pStyle w:val="115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color w:val="000000" w:themeColor="text1"/>
        </w:rPr>
      </w:pPr>
      <w:r>
        <w:rPr>
          <w:rFonts w:ascii="Times New Roman" w:hAnsi="Times New Roman" w:cs="Times New Roman"/>
          <w:b w:val="0"/>
        </w:rPr>
        <w:t xml:space="preserve">Участники закупки, участвовавшие в переторжке и снизившие свою цену, обязаны дополнительно представить откорректированные с учетом новой цены, полученной после переторжки, документы, определяющие их коммерческое предложение</w:t>
      </w:r>
      <w:r>
        <w:rPr>
          <w:rFonts w:ascii="Times New Roman" w:hAnsi="Times New Roman" w:cs="Times New Roman"/>
          <w:b w:val="0"/>
        </w:rPr>
        <w:t xml:space="preserve"> (в случае если предоставление документов, определяющих их коммерческое предложение, предусмотрено в </w:t>
      </w:r>
      <w:hyperlink w:tooltip="#_Сведения_и_документы," w:anchor="_Сведения_и_документы," w:history="1">
        <w:r>
          <w:rPr>
            <w:rStyle w:val="1218"/>
            <w:rFonts w:ascii="Times New Roman" w:hAnsi="Times New Roman" w:cs="Times New Roman"/>
            <w:b w:val="0"/>
          </w:rPr>
          <w:t xml:space="preserve">п. 1</w:t>
        </w:r>
        <w:r>
          <w:rPr>
            <w:rStyle w:val="1218"/>
            <w:rFonts w:ascii="Times New Roman" w:hAnsi="Times New Roman" w:cs="Times New Roman"/>
            <w:b w:val="0"/>
          </w:rPr>
          <w:t xml:space="preserve">7</w:t>
        </w:r>
        <w:r>
          <w:rPr>
            <w:rStyle w:val="1218"/>
            <w:rFonts w:ascii="Times New Roman" w:hAnsi="Times New Roman" w:cs="Times New Roman"/>
            <w:b w:val="0"/>
          </w:rPr>
          <w:t xml:space="preserve"> части II «ИНФОРМАЦИОННАЯ КАРТА ЗАКУПКИ»</w:t>
        </w:r>
      </w:hyperlink>
      <w:r>
        <w:rPr>
          <w:rStyle w:val="1218"/>
          <w:rFonts w:ascii="Times New Roman" w:hAnsi="Times New Roman" w:cs="Times New Roman"/>
          <w:b w:val="0"/>
          <w:color w:val="auto"/>
        </w:rPr>
        <w:t xml:space="preserve">)</w:t>
      </w:r>
      <w:r>
        <w:rPr>
          <w:rFonts w:ascii="Times New Roman" w:hAnsi="Times New Roman"/>
          <w:b w:val="0"/>
          <w:color w:val="000000" w:themeColor="text1"/>
        </w:rPr>
        <w:t xml:space="preserve">.</w:t>
      </w:r>
      <w:r>
        <w:rPr>
          <w:rFonts w:ascii="Times New Roman" w:hAnsi="Times New Roman" w:cs="Times New Roman"/>
          <w:b w:val="0"/>
          <w:color w:val="000000" w:themeColor="text1"/>
        </w:rPr>
      </w:r>
      <w:r>
        <w:rPr>
          <w:rFonts w:ascii="Times New Roman" w:hAnsi="Times New Roman" w:cs="Times New Roman"/>
          <w:b w:val="0"/>
          <w:color w:val="000000" w:themeColor="text1"/>
        </w:rPr>
      </w:r>
    </w:p>
    <w:p>
      <w:pPr>
        <w:pStyle w:val="115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</w:rPr>
        <w:t xml:space="preserve">Время проведения </w:t>
      </w:r>
      <w:r>
        <w:rPr>
          <w:rFonts w:ascii="Times New Roman" w:hAnsi="Times New Roman" w:cs="Times New Roman"/>
          <w:b w:val="0"/>
        </w:rPr>
        <w:t xml:space="preserve">первой процедуры </w:t>
      </w:r>
      <w:r>
        <w:rPr>
          <w:rFonts w:ascii="Times New Roman" w:hAnsi="Times New Roman" w:cs="Times New Roman"/>
          <w:b w:val="0"/>
        </w:rPr>
        <w:t xml:space="preserve">переторжки (время ожидания ценовых предложений) указывается Заказчиком </w:t>
      </w:r>
      <w:r>
        <w:rPr>
          <w:rFonts w:ascii="Times New Roman" w:hAnsi="Times New Roman" w:cs="Times New Roman"/>
          <w:b w:val="0"/>
        </w:rPr>
        <w:t xml:space="preserve">в </w:t>
      </w:r>
      <w:r>
        <w:rPr>
          <w:rFonts w:ascii="Times New Roman" w:hAnsi="Times New Roman" w:cs="Times New Roman"/>
          <w:b w:val="0"/>
          <w:bCs w:val="0"/>
        </w:rPr>
        <w:t xml:space="preserve">пункте </w:t>
      </w:r>
      <w:hyperlink w:tooltip="#_Порядок,_дата_начала," w:anchor="_Порядок,_дата_начала," w:history="1">
        <w:r>
          <w:rPr>
            <w:rStyle w:val="1218"/>
            <w:rFonts w:ascii="Times New Roman" w:hAnsi="Times New Roman" w:cs="Times New Roman"/>
            <w:b w:val="0"/>
            <w:bCs w:val="0"/>
          </w:rPr>
          <w:t xml:space="preserve">9 части II «ИНФОРМАЦИОННАЯ КАРТА ЗАКУПКИ»</w:t>
        </w:r>
      </w:hyperlink>
      <w:r>
        <w:rPr>
          <w:rFonts w:ascii="Times New Roman" w:hAnsi="Times New Roman" w:cs="Times New Roman"/>
          <w:b w:val="0"/>
          <w:bCs w:val="0"/>
        </w:rPr>
        <w:t xml:space="preserve"> </w:t>
      </w:r>
      <w:r>
        <w:rPr>
          <w:rFonts w:ascii="Times New Roman" w:hAnsi="Times New Roman" w:cs="Times New Roman"/>
          <w:b w:val="0"/>
        </w:rPr>
        <w:t xml:space="preserve">и не может составлять менее одних суток</w:t>
      </w:r>
      <w:r>
        <w:rPr>
          <w:rFonts w:ascii="Times New Roman" w:hAnsi="Times New Roman" w:cs="Times New Roman"/>
          <w:b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  <w:t xml:space="preserve"> </w:t>
      </w:r>
      <w:r>
        <w:rPr>
          <w:rFonts w:ascii="Times New Roman" w:hAnsi="Times New Roman" w:cs="Times New Roman"/>
          <w:b w:val="0"/>
          <w:bCs w:val="0"/>
        </w:rPr>
        <w:t xml:space="preserve">Дата и время проведения повторных процедур переторжки (в случае их проведения) указывается на сайте ЭТП, информация о чем доводится до сведения участников закупки средствами ЭТ</w:t>
      </w:r>
      <w:r>
        <w:rPr>
          <w:rFonts w:ascii="Times New Roman" w:hAnsi="Times New Roman" w:cs="Times New Roman"/>
          <w:b w:val="0"/>
          <w:bCs w:val="0"/>
        </w:rPr>
        <w:t xml:space="preserve">П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5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По результатам переторжки составляется протокол, в котором указывается информация, предусмотренная </w:t>
      </w:r>
      <w:hyperlink r:id="rId30" w:tooltip="https://www.consultant.ru/document/cons_doc_LAW_116964/" w:history="1">
        <w:r>
          <w:rPr>
            <w:rStyle w:val="1218"/>
            <w:rFonts w:ascii="Times New Roman" w:hAnsi="Times New Roman" w:cs="Times New Roman"/>
            <w:b w:val="0"/>
            <w:bCs w:val="0"/>
          </w:rPr>
          <w:t xml:space="preserve">Законом 223-ФЗ</w:t>
        </w:r>
      </w:hyperlink>
      <w:r>
        <w:rPr>
          <w:rFonts w:ascii="Times New Roman" w:hAnsi="Times New Roman" w:cs="Times New Roman"/>
          <w:b w:val="0"/>
          <w:bCs w:val="0"/>
        </w:rPr>
        <w:t xml:space="preserve"> и </w:t>
      </w:r>
      <w:hyperlink r:id="rId31" w:tooltip="https://rosseti-sz.ru/purchase/purchasemanage/pur_docs/" w:history="1">
        <w:r>
          <w:rPr>
            <w:rStyle w:val="1218"/>
            <w:rFonts w:ascii="Times New Roman" w:hAnsi="Times New Roman" w:cs="Times New Roman"/>
            <w:b w:val="0"/>
            <w:bCs w:val="0"/>
          </w:rPr>
          <w:t xml:space="preserve">Положением о закупке Заказчика</w:t>
        </w:r>
      </w:hyperlink>
      <w:r>
        <w:rPr>
          <w:rFonts w:ascii="Times New Roman" w:hAnsi="Times New Roman" w:cs="Times New Roman"/>
          <w:b w:val="0"/>
          <w:bCs w:val="0"/>
        </w:rPr>
        <w:t xml:space="preserve">, в том числе в случае принятия решения о проведении повторной переторжки дата и время проведения такой переторжки.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49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349" w:name="_Toc34"/>
      <w:r>
        <w:rPr>
          <w:sz w:val="24"/>
          <w:szCs w:val="24"/>
        </w:rPr>
        <w:t xml:space="preserve">Подведение итогов</w:t>
      </w:r>
      <w:r>
        <w:rPr>
          <w:sz w:val="24"/>
          <w:szCs w:val="24"/>
        </w:rPr>
      </w:r>
      <w:bookmarkEnd w:id="349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5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Подведение итогов закупки осуществляются Закупочной комиссией в сроки, установленные </w:t>
      </w:r>
      <w:hyperlink w:tooltip="#_Порядок,_дата_начала," w:anchor="_Порядок,_дата_начала," w:history="1">
        <w:r>
          <w:rPr>
            <w:rStyle w:val="1218"/>
            <w:rFonts w:ascii="Times New Roman" w:hAnsi="Times New Roman" w:cs="Times New Roman"/>
            <w:b w:val="0"/>
          </w:rPr>
          <w:t xml:space="preserve">в </w:t>
        </w:r>
        <w:r>
          <w:rPr>
            <w:rStyle w:val="1218"/>
            <w:rFonts w:ascii="Times New Roman" w:hAnsi="Times New Roman" w:cs="Times New Roman"/>
            <w:b w:val="0"/>
            <w:bCs w:val="0"/>
          </w:rPr>
          <w:t xml:space="preserve">пункте </w:t>
        </w:r>
        <w:r>
          <w:rPr>
            <w:rStyle w:val="1218"/>
            <w:rFonts w:ascii="Times New Roman" w:hAnsi="Times New Roman" w:cs="Times New Roman"/>
            <w:b w:val="0"/>
            <w:bCs w:val="0"/>
          </w:rPr>
          <w:t xml:space="preserve">9</w:t>
        </w:r>
        <w:r>
          <w:rPr>
            <w:rStyle w:val="1218"/>
            <w:rFonts w:ascii="Times New Roman" w:hAnsi="Times New Roman" w:cs="Times New Roman"/>
            <w:b w:val="0"/>
            <w:bCs w:val="0"/>
          </w:rPr>
          <w:t xml:space="preserve"> части II «ИНФОРМАЦИОННАЯ КАРТА ЗАКУПКИ»</w:t>
        </w:r>
      </w:hyperlink>
      <w:r>
        <w:rPr>
          <w:rFonts w:ascii="Times New Roman" w:hAnsi="Times New Roman" w:cs="Times New Roman"/>
          <w:b w:val="0"/>
        </w:rPr>
        <w:t xml:space="preserve">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115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В рамках подведения итогов осуществляется оценка и сопоставление заявок участников, допущенных до участия в закупке по результатам рассмотрения заявок. </w:t>
      </w:r>
      <w:r>
        <w:rPr>
          <w:rFonts w:ascii="Times New Roman" w:hAnsi="Times New Roman" w:cs="Times New Roman"/>
          <w:b w:val="0"/>
          <w:bCs w:val="0"/>
        </w:rPr>
        <w:t xml:space="preserve">Заявки участников закупки оцениваются исходя из критериев и в порядке, установленном в </w:t>
      </w:r>
      <w:hyperlink w:tooltip="#_Приложение_№_1" w:anchor="_Приложение_№_1" w:history="1">
        <w:r>
          <w:rPr>
            <w:rStyle w:val="1218"/>
            <w:rFonts w:ascii="Times New Roman" w:hAnsi="Times New Roman" w:cs="Times New Roman"/>
            <w:b w:val="0"/>
            <w:bCs w:val="0"/>
          </w:rPr>
          <w:t xml:space="preserve">приложении 1 части II «ИНФОРМАЦИОННАЯ КАРТА ЗАКУПКИ»</w:t>
        </w:r>
      </w:hyperlink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115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Не допускается осуществлять оценку и сопоставление заявок на участие в закупке по критериям и в порядке, которые не указаны в</w:t>
      </w:r>
      <w:r>
        <w:rPr>
          <w:rFonts w:ascii="Times New Roman" w:hAnsi="Times New Roman" w:cs="Times New Roman"/>
          <w:b w:val="0"/>
          <w:bCs w:val="0"/>
        </w:rPr>
        <w:t xml:space="preserve"> документации о закупке. Критерии и порядок оценки и сопоставления заявок на участие в закупке, установленные Заказчиком, применяются в равной степени ко всем участникам закупки, к предлагаемым ими товарам, работам, услугам, к условиям исполнения договора.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5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/>
      <w:bookmarkStart w:id="135" w:name="_При_выборе_Победителя"/>
      <w:r/>
      <w:bookmarkEnd w:id="135"/>
      <w:r>
        <w:rPr>
          <w:rFonts w:ascii="Times New Roman" w:hAnsi="Times New Roman" w:cs="Times New Roman"/>
          <w:b w:val="0"/>
        </w:rPr>
        <w:t xml:space="preserve">При выборе Победителя закупки Заказчик учитывает следующие условия: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1150"/>
        <w:numPr>
          <w:ilvl w:val="3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highlight w:val="green"/>
        </w:rPr>
      </w:pPr>
      <w:r>
        <w:rPr>
          <w:rFonts w:ascii="Times New Roman" w:hAnsi="Times New Roman" w:cs="Times New Roman"/>
          <w:b w:val="0"/>
          <w:highlight w:val="green"/>
        </w:rPr>
        <w:t xml:space="preserve">Если в</w:t>
      </w:r>
      <w:r>
        <w:rPr>
          <w:rFonts w:ascii="Times New Roman" w:hAnsi="Times New Roman" w:cs="Times New Roman"/>
          <w:b w:val="0"/>
          <w:highlight w:val="green"/>
        </w:rPr>
        <w:t xml:space="preserve"> соответствии с требованиями </w:t>
      </w:r>
      <w:hyperlink r:id="rId32" w:tooltip="https://www.consultant.ru/document/cons_doc_LAW_494318/92d969e26a4326c5d02fa79b8f9cf4994ee5633b/" w:history="1">
        <w:r>
          <w:rPr>
            <w:rStyle w:val="1218"/>
            <w:rFonts w:ascii="Times New Roman" w:hAnsi="Times New Roman" w:cs="Times New Roman"/>
            <w:b w:val="0"/>
            <w:highlight w:val="green"/>
          </w:rPr>
          <w:t xml:space="preserve">постановления Правительства РФ от 23.12.2024 № 1875</w:t>
        </w:r>
      </w:hyperlink>
      <w:r>
        <w:rPr>
          <w:rFonts w:ascii="Times New Roman" w:hAnsi="Times New Roman" w:cs="Times New Roman"/>
          <w:b w:val="0"/>
          <w:highlight w:val="green"/>
        </w:rPr>
        <w:t xml:space="preserve"> в </w:t>
      </w:r>
      <w:hyperlink w:tooltip="#_Сведения_о_предоставлении" w:anchor="_Сведения_о_предоставлении" w:history="1">
        <w:r>
          <w:rPr>
            <w:rStyle w:val="1218"/>
            <w:rFonts w:ascii="Times New Roman" w:hAnsi="Times New Roman" w:cs="Times New Roman"/>
            <w:b w:val="0"/>
            <w:highlight w:val="green"/>
          </w:rPr>
          <w:t xml:space="preserve">пункте 12 части II «ИНФОРМАЦИОНОЙ КАРТЫ ЗАКУПКИ»</w:t>
        </w:r>
      </w:hyperlink>
      <w:r>
        <w:rPr>
          <w:rFonts w:ascii="Times New Roman" w:hAnsi="Times New Roman" w:cs="Times New Roman"/>
          <w:b w:val="0"/>
          <w:highlight w:val="green"/>
        </w:rPr>
        <w:t xml:space="preserve"> установлен запрет </w:t>
      </w:r>
      <w:r>
        <w:rPr>
          <w:rFonts w:ascii="Times New Roman" w:hAnsi="Times New Roman" w:cs="Times New Roman"/>
          <w:b w:val="0"/>
          <w:highlight w:val="green"/>
        </w:rPr>
        <w:t xml:space="preserve">закупки работ, услуг, соответственно выполняемых, оказываемых иностранным лицом,</w:t>
      </w:r>
      <w:r>
        <w:rPr>
          <w:rFonts w:ascii="Times New Roman" w:hAnsi="Times New Roman" w:cs="Times New Roman"/>
          <w:b w:val="0"/>
        </w:rPr>
        <w:t xml:space="preserve"> </w:t>
      </w:r>
      <w:r>
        <w:rPr>
          <w:rFonts w:ascii="Times New Roman" w:hAnsi="Times New Roman" w:cs="Times New Roman"/>
          <w:b w:val="0"/>
          <w:highlight w:val="green"/>
        </w:rPr>
        <w:t xml:space="preserve">то не допускается заключение договора на выполнение такой работы, оказание такой услуги с подрядчиком (исполнителем) являющимся иностранным лицом.</w:t>
      </w:r>
      <w:r>
        <w:rPr>
          <w:rFonts w:ascii="Times New Roman" w:hAnsi="Times New Roman" w:cs="Times New Roman"/>
          <w:b w:val="0"/>
          <w:highlight w:val="green"/>
        </w:rPr>
      </w:r>
      <w:r>
        <w:rPr>
          <w:rFonts w:ascii="Times New Roman" w:hAnsi="Times New Roman" w:cs="Times New Roman"/>
          <w:b w:val="0"/>
          <w:highlight w:val="green"/>
        </w:rPr>
      </w:r>
    </w:p>
    <w:p>
      <w:pPr>
        <w:pStyle w:val="1150"/>
        <w:numPr>
          <w:ilvl w:val="3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highlight w:val="green"/>
        </w:rPr>
      </w:pPr>
      <w:r/>
      <w:bookmarkStart w:id="136" w:name="_GoBack"/>
      <w:r/>
      <w:bookmarkEnd w:id="136"/>
      <w:r>
        <w:rPr>
          <w:rFonts w:ascii="Times New Roman" w:hAnsi="Times New Roman" w:cs="Times New Roman"/>
          <w:b w:val="0"/>
          <w:highlight w:val="green"/>
        </w:rPr>
        <w:t xml:space="preserve">Если в соответствии с требованиями </w:t>
      </w:r>
      <w:hyperlink r:id="rId33" w:tooltip="https://www.consultant.ru/document/cons_doc_LAW_494318/92d969e26a4326c5d02fa79b8f9cf4994ee5633b/" w:history="1">
        <w:r>
          <w:rPr>
            <w:rStyle w:val="1218"/>
            <w:rFonts w:ascii="Times New Roman" w:hAnsi="Times New Roman" w:cs="Times New Roman"/>
            <w:b w:val="0"/>
            <w:highlight w:val="green"/>
          </w:rPr>
          <w:t xml:space="preserve">постановления Правительства РФ от 23.12.2024 № 1875</w:t>
        </w:r>
      </w:hyperlink>
      <w:r>
        <w:rPr>
          <w:rFonts w:ascii="Times New Roman" w:hAnsi="Times New Roman" w:cs="Times New Roman"/>
          <w:b w:val="0"/>
          <w:highlight w:val="green"/>
        </w:rPr>
        <w:t xml:space="preserve"> в </w:t>
      </w:r>
      <w:hyperlink w:tooltip="#_Сведения_о_предоставлении" w:anchor="_Сведения_о_предоставлении" w:history="1">
        <w:r>
          <w:rPr>
            <w:rStyle w:val="1218"/>
            <w:rFonts w:ascii="Times New Roman" w:hAnsi="Times New Roman" w:cs="Times New Roman"/>
            <w:b w:val="0"/>
            <w:highlight w:val="green"/>
          </w:rPr>
          <w:t xml:space="preserve">пункте 12 части II «ИНФОРМАЦИОНОЙ КАРТЫ ЗАКУПКИ»</w:t>
        </w:r>
      </w:hyperlink>
      <w:r>
        <w:rPr>
          <w:rFonts w:ascii="Times New Roman" w:hAnsi="Times New Roman" w:cs="Times New Roman"/>
          <w:b w:val="0"/>
          <w:highlight w:val="green"/>
        </w:rPr>
        <w:t xml:space="preserve"> установлено ограничение</w:t>
      </w:r>
      <w:r>
        <w:t xml:space="preserve"> </w:t>
      </w:r>
      <w:r>
        <w:rPr>
          <w:rFonts w:ascii="Times New Roman" w:hAnsi="Times New Roman" w:cs="Times New Roman"/>
          <w:b w:val="0"/>
          <w:highlight w:val="green"/>
        </w:rPr>
        <w:t xml:space="preserve">закупки работ, услуг, соответственно выполняемых, оказываемых иностранным лицом,</w:t>
      </w:r>
      <w:r>
        <w:rPr>
          <w:rFonts w:ascii="Times New Roman" w:hAnsi="Times New Roman" w:cs="Times New Roman"/>
          <w:b w:val="0"/>
          <w:bCs w:val="0"/>
          <w:highlight w:val="green"/>
        </w:rPr>
        <w:t xml:space="preserve"> </w:t>
      </w:r>
      <w:r>
        <w:rPr>
          <w:rFonts w:ascii="Times New Roman" w:hAnsi="Times New Roman" w:cs="Times New Roman"/>
          <w:b w:val="0"/>
          <w:highlight w:val="green"/>
        </w:rPr>
        <w:t xml:space="preserve">то не допускается заключение договора</w:t>
      </w:r>
      <w:r>
        <w:rPr>
          <w:b w:val="0"/>
          <w:highlight w:val="green"/>
        </w:rPr>
        <w:t xml:space="preserve"> </w:t>
      </w:r>
      <w:r>
        <w:rPr>
          <w:rFonts w:ascii="Times New Roman" w:hAnsi="Times New Roman" w:cs="Times New Roman"/>
          <w:b w:val="0"/>
          <w:highlight w:val="green"/>
        </w:rPr>
        <w:t xml:space="preserve">с участником закупки, </w:t>
      </w:r>
      <w:r>
        <w:rPr>
          <w:rFonts w:ascii="Times New Roman" w:hAnsi="Times New Roman" w:cs="Times New Roman"/>
          <w:b w:val="0"/>
          <w:highlight w:val="green"/>
        </w:rPr>
        <w:t xml:space="preserve">являющимся иностранным лицом, если российским лицом подана заявка на участие в закупке, окончательное предложение, признанные по результатам их рассмотрения соответствующими требованиям Стандарта, извещения об осуществлении закупки, документации о закупке.</w:t>
      </w:r>
      <w:r>
        <w:rPr>
          <w:rFonts w:ascii="Times New Roman" w:hAnsi="Times New Roman" w:cs="Times New Roman"/>
          <w:b w:val="0"/>
          <w:highlight w:val="green"/>
        </w:rPr>
      </w:r>
      <w:r>
        <w:rPr>
          <w:rFonts w:ascii="Times New Roman" w:hAnsi="Times New Roman" w:cs="Times New Roman"/>
          <w:b w:val="0"/>
          <w:highlight w:val="green"/>
        </w:rPr>
      </w:r>
    </w:p>
    <w:p>
      <w:pPr>
        <w:pStyle w:val="115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Победителем закупки признается участник закупки, заявка на участие в закупке, окончательное предложение которого соотв</w:t>
      </w:r>
      <w:r>
        <w:rPr>
          <w:rFonts w:ascii="Times New Roman" w:hAnsi="Times New Roman" w:cs="Times New Roman"/>
          <w:b w:val="0"/>
          <w:bCs w:val="0"/>
        </w:rPr>
        <w:t xml:space="preserve">етствует требованиям, установленным документацией о закупке, и заявка которого по результатам сопоставления заявок, окончательных предложений на основании указанных в документации о такой закупке критериев оценки содержит лучшие условия исполнения договора</w:t>
      </w:r>
      <w:r>
        <w:rPr>
          <w:rFonts w:ascii="Times New Roman" w:hAnsi="Times New Roman" w:cs="Times New Roman"/>
          <w:b w:val="0"/>
          <w:bCs w:val="0"/>
        </w:rPr>
        <w:t xml:space="preserve">,</w:t>
      </w:r>
      <w:r>
        <w:rPr>
          <w:rFonts w:ascii="Times New Roman" w:hAnsi="Times New Roman" w:cs="Times New Roman"/>
          <w:b w:val="0"/>
          <w:bCs w:val="0"/>
          <w:highlight w:val="green"/>
        </w:rPr>
        <w:t xml:space="preserve"> </w:t>
      </w:r>
      <w:r>
        <w:rPr>
          <w:rFonts w:ascii="Times New Roman" w:hAnsi="Times New Roman" w:cs="Times New Roman"/>
          <w:b w:val="0"/>
          <w:bCs w:val="0"/>
          <w:highlight w:val="green"/>
        </w:rPr>
        <w:t xml:space="preserve">с учетом </w:t>
      </w:r>
      <w:hyperlink w:tooltip="#_При_выборе_Победителя" w:anchor="_При_выборе_Победителя" w:history="1">
        <w:r>
          <w:rPr>
            <w:rStyle w:val="1218"/>
            <w:rFonts w:ascii="Times New Roman" w:hAnsi="Times New Roman" w:cs="Times New Roman"/>
            <w:b w:val="0"/>
            <w:bCs w:val="0"/>
            <w:highlight w:val="green"/>
          </w:rPr>
          <w:t xml:space="preserve">условий п. 5.7.4</w:t>
        </w:r>
      </w:hyperlink>
      <w:r>
        <w:rPr>
          <w:rFonts w:ascii="Times New Roman" w:hAnsi="Times New Roman" w:cs="Times New Roman"/>
          <w:b w:val="0"/>
          <w:bCs w:val="0"/>
          <w:highlight w:val="green"/>
        </w:rPr>
        <w:t xml:space="preserve"> документации о закупке.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b w:val="0"/>
        </w:rPr>
        <w:t xml:space="preserve"> </w:t>
      </w:r>
      <w:r>
        <w:rPr>
          <w:rFonts w:ascii="Times New Roman" w:hAnsi="Times New Roman" w:cs="Times New Roman"/>
          <w:b w:val="0"/>
        </w:rPr>
        <w:t xml:space="preserve">В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</w:t>
      </w:r>
      <w:r>
        <w:rPr>
          <w:rFonts w:ascii="Times New Roman" w:hAnsi="Times New Roman" w:cs="Times New Roman"/>
          <w:b w:val="0"/>
        </w:rPr>
        <w:t xml:space="preserve">ранее других заявок.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115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По результатам осуществления оценки и сопоставления заявок </w:t>
      </w:r>
      <w:r>
        <w:rPr>
          <w:rFonts w:ascii="Times New Roman" w:hAnsi="Times New Roman" w:cs="Times New Roman"/>
          <w:b w:val="0"/>
          <w:bCs w:val="0"/>
        </w:rPr>
        <w:t xml:space="preserve">составляется итоговый протокол</w:t>
      </w:r>
      <w:r>
        <w:rPr>
          <w:rFonts w:ascii="Times New Roman" w:hAnsi="Times New Roman" w:cs="Times New Roman"/>
          <w:b w:val="0"/>
        </w:rPr>
        <w:t xml:space="preserve">, </w:t>
      </w:r>
      <w:r>
        <w:rPr>
          <w:rFonts w:ascii="Times New Roman" w:hAnsi="Times New Roman" w:cs="Times New Roman"/>
          <w:b w:val="0"/>
          <w:bCs w:val="0"/>
        </w:rPr>
        <w:t xml:space="preserve">в котором указывается информация, предусмотренная </w:t>
      </w:r>
      <w:hyperlink r:id="rId34" w:tooltip="http://www.consultant.ru/document/cons_doc_LAW_116964/" w:history="1">
        <w:r>
          <w:rPr>
            <w:rStyle w:val="1218"/>
            <w:rFonts w:ascii="Times New Roman" w:hAnsi="Times New Roman" w:cs="Times New Roman"/>
            <w:b w:val="0"/>
            <w:bCs w:val="0"/>
          </w:rPr>
          <w:t xml:space="preserve">Законом 223-ФЗ</w:t>
        </w:r>
      </w:hyperlink>
      <w:r>
        <w:rPr>
          <w:rFonts w:ascii="Times New Roman" w:hAnsi="Times New Roman" w:cs="Times New Roman"/>
          <w:b w:val="0"/>
          <w:bCs w:val="0"/>
        </w:rPr>
        <w:t xml:space="preserve"> и </w:t>
      </w:r>
      <w:hyperlink r:id="rId35" w:tooltip="https://rosseti-sz.ru/purchase/purchasemanage/pur_docs/" w:history="1">
        <w:r>
          <w:rPr>
            <w:rStyle w:val="1218"/>
            <w:rFonts w:ascii="Times New Roman" w:hAnsi="Times New Roman" w:cs="Times New Roman"/>
            <w:b w:val="0"/>
            <w:bCs w:val="0"/>
          </w:rPr>
          <w:t xml:space="preserve">Положением о закупке</w:t>
        </w:r>
      </w:hyperlink>
      <w:r>
        <w:rPr>
          <w:rFonts w:ascii="Times New Roman" w:hAnsi="Times New Roman" w:cs="Times New Roman"/>
          <w:b w:val="0"/>
          <w:bCs w:val="0"/>
        </w:rPr>
        <w:t xml:space="preserve"> Заказчика, в том числе </w:t>
      </w:r>
      <w:r>
        <w:rPr>
          <w:rFonts w:ascii="Times New Roman" w:hAnsi="Times New Roman" w:cs="Times New Roman"/>
          <w:b w:val="0"/>
        </w:rPr>
        <w:t xml:space="preserve">результ</w:t>
      </w:r>
      <w:r>
        <w:rPr>
          <w:rFonts w:ascii="Times New Roman" w:hAnsi="Times New Roman" w:cs="Times New Roman"/>
          <w:b w:val="0"/>
        </w:rPr>
        <w:t xml:space="preserve">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закупке, а также о присвоении таким заявкам значения по каждому из предусмотренных критериев оценки таких заявок</w:t>
      </w:r>
      <w:r>
        <w:rPr>
          <w:rFonts w:ascii="Times New Roman" w:hAnsi="Times New Roman" w:cs="Times New Roman"/>
          <w:b w:val="0"/>
          <w:bCs w:val="0"/>
        </w:rPr>
        <w:t xml:space="preserve">. 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115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Если до заключения договора по результатам закупки будет выявлено, что Закупочная комиссия при проведении</w:t>
      </w:r>
      <w:r>
        <w:rPr>
          <w:rFonts w:ascii="Times New Roman" w:hAnsi="Times New Roman" w:cs="Times New Roman"/>
          <w:b w:val="0"/>
          <w:bCs w:val="0"/>
        </w:rPr>
        <w:t xml:space="preserve"> закупки допустила нарушение норм действующего законодательства, Стандарта и</w:t>
      </w:r>
      <w:r>
        <w:rPr>
          <w:rFonts w:ascii="Times New Roman" w:hAnsi="Times New Roman" w:cs="Times New Roman"/>
          <w:b w:val="0"/>
          <w:bCs w:val="0"/>
        </w:rPr>
        <w:t xml:space="preserve">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закупке) Закупочная комиссия обязана отменить ранее принятые решения и провести процедур</w:t>
      </w:r>
      <w:r>
        <w:rPr>
          <w:rFonts w:ascii="Times New Roman" w:hAnsi="Times New Roman" w:cs="Times New Roman"/>
          <w:b w:val="0"/>
          <w:bCs w:val="0"/>
        </w:rPr>
        <w:t xml:space="preserve">ы</w:t>
      </w:r>
      <w:r>
        <w:rPr>
          <w:rFonts w:ascii="Times New Roman" w:hAnsi="Times New Roman" w:cs="Times New Roman"/>
          <w:b w:val="0"/>
          <w:bCs w:val="0"/>
        </w:rPr>
        <w:t xml:space="preserve"> рассмотрения, оценки и сопоставления заявок повторно с учетом выявленных нарушений.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49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350" w:name="_Toc35"/>
      <w:r>
        <w:rPr>
          <w:sz w:val="24"/>
          <w:szCs w:val="24"/>
        </w:rPr>
        <w:t xml:space="preserve">Признание закупки несостоявшейся</w:t>
      </w:r>
      <w:r>
        <w:rPr>
          <w:sz w:val="24"/>
          <w:szCs w:val="24"/>
        </w:rPr>
      </w:r>
      <w:bookmarkEnd w:id="350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5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</w:t>
      </w:r>
      <w:hyperlink r:id="rId36" w:tooltip="https://rosseti-sz.ru/purchase/purchasemanage/pur_docs/" w:history="1">
        <w:r>
          <w:rPr>
            <w:rStyle w:val="1218"/>
            <w:rFonts w:ascii="Times New Roman" w:hAnsi="Times New Roman" w:cs="Times New Roman"/>
            <w:b w:val="0"/>
            <w:bCs w:val="0"/>
          </w:rPr>
          <w:t xml:space="preserve">Положением о закупке</w:t>
        </w:r>
      </w:hyperlink>
      <w:r>
        <w:rPr>
          <w:rStyle w:val="1218"/>
          <w:rFonts w:ascii="Times New Roman" w:hAnsi="Times New Roman" w:cs="Times New Roman"/>
          <w:b w:val="0"/>
          <w:bCs w:val="0"/>
        </w:rPr>
        <w:t xml:space="preserve"> </w:t>
      </w:r>
      <w:r>
        <w:rPr>
          <w:rFonts w:ascii="Times New Roman" w:hAnsi="Times New Roman" w:cs="Times New Roman"/>
          <w:b w:val="0"/>
          <w:bCs w:val="0"/>
        </w:rPr>
        <w:t xml:space="preserve">Заказчика.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49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351" w:name="_Toc36"/>
      <w:r>
        <w:rPr>
          <w:sz w:val="24"/>
          <w:szCs w:val="24"/>
        </w:rPr>
        <w:t xml:space="preserve">Рассмотрение жалоб и обращений участников закупки</w:t>
      </w:r>
      <w:r>
        <w:rPr>
          <w:sz w:val="24"/>
          <w:szCs w:val="24"/>
        </w:rPr>
      </w:r>
      <w:bookmarkEnd w:id="351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5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Рассмотрение жалоб и обращений участников закупки осуществляется в порядке, предусмотренном </w:t>
      </w:r>
      <w:hyperlink r:id="rId37" w:tooltip="https://rosseti-sz.ru/purchase/purchasemanage/pur_docs/" w:history="1">
        <w:r>
          <w:rPr>
            <w:rStyle w:val="1218"/>
            <w:rFonts w:ascii="Times New Roman" w:hAnsi="Times New Roman" w:cs="Times New Roman"/>
            <w:b w:val="0"/>
            <w:bCs w:val="0"/>
          </w:rPr>
          <w:t xml:space="preserve">Положением о закупке</w:t>
        </w:r>
      </w:hyperlink>
      <w:r>
        <w:rPr>
          <w:rFonts w:ascii="Times New Roman" w:hAnsi="Times New Roman" w:cs="Times New Roman"/>
          <w:b w:val="0"/>
          <w:bCs w:val="0"/>
        </w:rPr>
        <w:t xml:space="preserve"> Заказчика.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ind w:firstLine="567"/>
        <w:rPr>
          <w:highlight w:val="none"/>
        </w:rPr>
      </w:pPr>
      <w:r>
        <w:t xml:space="preserve">В случае необходимости, после завершения процедуры закупки участник вправе направить в а</w:t>
      </w:r>
      <w:r>
        <w:t xml:space="preserve">дрес Заказчика, указанный в извещении о закупке и документации о закупке запрос о разъяснении причин отклонения заявки такого участника. Заказчик обязан ответить на такой запрос в срок не позднее 10 (десяти) рабочих дней с момента получения такого запроса.</w:t>
      </w:r>
      <w:r>
        <w:rPr>
          <w:highlight w:val="none"/>
        </w:rPr>
      </w:r>
      <w:r>
        <w:rPr>
          <w:highlight w:val="none"/>
        </w:rPr>
      </w:r>
    </w:p>
    <w:p>
      <w:pPr>
        <w:ind w:firstLine="567"/>
      </w:pPr>
      <w:r>
        <w:rPr>
          <w:highlight w:val="none"/>
        </w:rPr>
      </w:r>
      <w:r>
        <w:rPr>
          <w:highlight w:val="none"/>
        </w:rPr>
      </w:r>
      <w:r/>
    </w:p>
    <w:p>
      <w:pPr>
        <w:pStyle w:val="1148"/>
        <w:numPr>
          <w:ilvl w:val="0"/>
          <w:numId w:val="1"/>
        </w:numPr>
        <w:ind w:left="0" w:firstLine="567"/>
        <w:jc w:val="left"/>
        <w:keepNext w:val="0"/>
        <w:spacing w:before="0" w:after="0"/>
        <w:rPr>
          <w:sz w:val="24"/>
          <w:szCs w:val="24"/>
        </w:rPr>
      </w:pPr>
      <w:r/>
      <w:bookmarkStart w:id="352" w:name="_Toc37"/>
      <w:r/>
      <w:bookmarkStart w:id="141" w:name="Par110"/>
      <w:r/>
      <w:bookmarkStart w:id="142" w:name="Par144"/>
      <w:r/>
      <w:bookmarkEnd w:id="118"/>
      <w:r/>
      <w:bookmarkEnd w:id="141"/>
      <w:r/>
      <w:bookmarkEnd w:id="142"/>
      <w:r>
        <w:rPr>
          <w:sz w:val="24"/>
          <w:szCs w:val="24"/>
        </w:rPr>
        <w:t xml:space="preserve">ЗАКЛЮЧЕНИЕ, ИЗМЕНЕНИЕ И РАСТОРЖЕНИЕ ДОГОВОРА</w:t>
      </w:r>
      <w:r>
        <w:rPr>
          <w:sz w:val="24"/>
          <w:szCs w:val="24"/>
        </w:rPr>
      </w:r>
      <w:bookmarkEnd w:id="352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49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353" w:name="_Toc38"/>
      <w:r/>
      <w:bookmarkStart w:id="146" w:name="_Обеспечения_исполнения_договора,"/>
      <w:r/>
      <w:bookmarkStart w:id="152" w:name="_Ref130891676"/>
      <w:r/>
      <w:bookmarkEnd w:id="146"/>
      <w:r>
        <w:rPr>
          <w:sz w:val="24"/>
          <w:szCs w:val="24"/>
        </w:rPr>
        <w:t xml:space="preserve">Срок и порядок заключения договора</w:t>
      </w:r>
      <w:r>
        <w:rPr>
          <w:sz w:val="24"/>
          <w:szCs w:val="24"/>
        </w:rPr>
      </w:r>
      <w:bookmarkEnd w:id="353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5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End w:id="152"/>
      <w:r>
        <w:rPr>
          <w:rFonts w:ascii="Times New Roman" w:hAnsi="Times New Roman" w:cs="Times New Roman"/>
          <w:b w:val="0"/>
        </w:rPr>
        <w:t xml:space="preserve">Договор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победителя</w:t>
      </w:r>
      <w:r>
        <w:rPr>
          <w:rFonts w:ascii="Times New Roman" w:hAnsi="Times New Roman" w:cs="Times New Roman"/>
          <w:b w:val="0"/>
        </w:rPr>
        <w:t xml:space="preserve"> </w:t>
      </w:r>
      <w:r>
        <w:rPr>
          <w:rFonts w:ascii="Times New Roman" w:hAnsi="Times New Roman" w:cs="Times New Roman"/>
          <w:b w:val="0"/>
        </w:rPr>
        <w:t xml:space="preserve">(единственного участника закупки с которым планируется заключить договор)</w:t>
      </w:r>
      <w:r>
        <w:rPr>
          <w:rFonts w:ascii="Times New Roman" w:hAnsi="Times New Roman" w:cs="Times New Roman"/>
          <w:b w:val="0"/>
        </w:rPr>
        <w:t xml:space="preserve"> такой закупки, с которым заключается договор с учетом результатов преддоговорных переговоров в случае их проведения</w:t>
      </w:r>
      <w:r>
        <w:rPr>
          <w:rFonts w:ascii="Times New Roman" w:hAnsi="Times New Roman" w:cs="Times New Roman"/>
          <w:b w:val="0"/>
          <w:bCs w:val="0"/>
        </w:rPr>
        <w:t xml:space="preserve">. По результатам закупки с участником может быть заключено также несколько договоров.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5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Заказчиком 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об установлении такой возможности указывается в пункте </w:t>
      </w:r>
      <w:hyperlink w:tooltip="#_Право_заказчика_заключить" w:anchor="_Право_заказчика_заключить" w:history="1">
        <w:r>
          <w:rPr>
            <w:rStyle w:val="1218"/>
            <w:rFonts w:ascii="Times New Roman" w:hAnsi="Times New Roman" w:cs="Times New Roman"/>
            <w:b w:val="0"/>
            <w:bCs w:val="0"/>
          </w:rPr>
          <w:t xml:space="preserve">23 части II «ИНФОРМАЦИОННАЯ КАРТА ЗАКУПКИ».</w:t>
        </w:r>
      </w:hyperlink>
      <w:r>
        <w:rPr>
          <w:rFonts w:ascii="Times New Roman" w:hAnsi="Times New Roman" w:cs="Times New Roman"/>
          <w:b w:val="0"/>
          <w:bCs w:val="0"/>
        </w:rPr>
        <w:t xml:space="preserve"> Порядок выбора нескольких победителей закупки устанавливается в </w:t>
      </w:r>
      <w:hyperlink w:tooltip="#_Приложение_№_1" w:anchor="_Приложение_№_1" w:history="1">
        <w:r>
          <w:rPr>
            <w:rStyle w:val="1218"/>
            <w:rFonts w:ascii="Times New Roman" w:hAnsi="Times New Roman" w:cs="Times New Roman"/>
            <w:b w:val="0"/>
            <w:bCs w:val="0"/>
          </w:rPr>
          <w:t xml:space="preserve">Приложении 1 к части </w:t>
        </w:r>
        <w:r>
          <w:rPr>
            <w:rStyle w:val="1218"/>
            <w:rFonts w:ascii="Times New Roman" w:hAnsi="Times New Roman" w:cs="Times New Roman"/>
            <w:b w:val="0"/>
            <w:bCs w:val="0"/>
            <w:lang w:val="en-US"/>
          </w:rPr>
          <w:t xml:space="preserve">II</w:t>
        </w:r>
        <w:r>
          <w:rPr>
            <w:rStyle w:val="1218"/>
            <w:rFonts w:ascii="Times New Roman" w:hAnsi="Times New Roman" w:cs="Times New Roman"/>
            <w:b w:val="0"/>
            <w:bCs w:val="0"/>
          </w:rPr>
          <w:t xml:space="preserve"> «ИНФОРМАЦИОННАЯ КАРТА ЗАКУПКИ»</w:t>
        </w:r>
      </w:hyperlink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numPr>
          <w:ilvl w:val="2"/>
          <w:numId w:val="1"/>
        </w:numPr>
        <w:ind w:left="0" w:firstLine="567"/>
        <w:spacing w:after="0"/>
        <w:rPr>
          <w:rFonts w:cs="Arial"/>
          <w:bCs/>
          <w:color w:val="000000" w:themeColor="text1"/>
        </w:rPr>
        <w:outlineLvl w:val="2"/>
      </w:pPr>
      <w:r/>
      <w:bookmarkStart w:id="154" w:name="_Победитель_закупки_(либо"/>
      <w:r/>
      <w:bookmarkEnd w:id="154"/>
      <w:r>
        <w:rPr>
          <w:bCs/>
        </w:rPr>
        <w:t xml:space="preserve">Победитель закупки (</w:t>
      </w:r>
      <w:r>
        <w:rPr>
          <w:rFonts w:cs="Arial"/>
          <w:bCs/>
          <w:color w:val="000000" w:themeColor="text1"/>
        </w:rPr>
        <w:t xml:space="preserve">либо единственный участник, признанный соответствующим требованиям </w:t>
      </w:r>
      <w:r>
        <w:rPr>
          <w:rFonts w:cs="Arial"/>
          <w:bCs/>
          <w:color w:val="000000" w:themeColor="text1"/>
        </w:rPr>
        <w:t xml:space="preserve">документации</w:t>
      </w:r>
      <w:r>
        <w:rPr>
          <w:rFonts w:cs="Arial"/>
          <w:bCs/>
          <w:color w:val="000000" w:themeColor="text1"/>
        </w:rPr>
        <w:t xml:space="preserve"> о закупке</w:t>
      </w:r>
      <w:r>
        <w:rPr>
          <w:bCs/>
          <w:color w:val="000000" w:themeColor="text1"/>
        </w:rPr>
        <w:t xml:space="preserve">, </w:t>
      </w:r>
      <w:r>
        <w:rPr>
          <w:bCs/>
        </w:rPr>
        <w:t xml:space="preserve">с которым планируется заключить договор) обязан в течение 3 (трех) рабочих дней, с даты размещения итогового протокола в ЕИС, направить по электронной почте лицу ответственному за заключение договора и указанному в пункте </w:t>
      </w:r>
      <w:hyperlink w:tooltip="#_Наименование,_место_нахождения," w:anchor="_Наименование,_место_нахождения," w:history="1">
        <w:r>
          <w:rPr>
            <w:bCs/>
            <w:color w:val="0000ff"/>
            <w:u w:val="single"/>
          </w:rPr>
          <w:t xml:space="preserve">2 части II «ИНФОРМАЦИОННАЯ КАРТА ЗАКУПКИ»</w:t>
        </w:r>
      </w:hyperlink>
      <w:r>
        <w:rPr>
          <w:bCs/>
        </w:rPr>
        <w:t xml:space="preserve">, заполненные приложения к договору, содержащие информацию о цене, а также сроках поставки товара, выполнения работ, оказания услуг. При этом общая итоговая стоимость не должна </w:t>
      </w:r>
      <w:r>
        <w:rPr>
          <w:rFonts w:cs="Arial"/>
          <w:bCs/>
          <w:color w:val="000000" w:themeColor="text1"/>
        </w:rPr>
        <w:t xml:space="preserve">превышать окончательную цену заявки Победителя</w:t>
      </w:r>
      <w:r>
        <w:rPr>
          <w:bCs/>
          <w:color w:val="000000" w:themeColor="text1"/>
        </w:rPr>
        <w:t xml:space="preserve"> (либо единственного участника, признанного соответствующим требованиям извещения о закупке, </w:t>
      </w:r>
      <w:r>
        <w:rPr>
          <w:bCs/>
        </w:rPr>
        <w:t xml:space="preserve">с которым планируется заключить договор</w:t>
      </w:r>
      <w:r>
        <w:rPr>
          <w:bCs/>
          <w:color w:val="000000" w:themeColor="text1"/>
        </w:rPr>
        <w:t xml:space="preserve">), а сроки поставки товара, выполнения работ (оказания услуг)</w:t>
      </w:r>
      <w:r>
        <w:rPr>
          <w:rFonts w:ascii="Arial" w:hAnsi="Arial" w:cs="Arial"/>
          <w:b/>
          <w:bCs/>
        </w:rPr>
        <w:t xml:space="preserve"> </w:t>
      </w:r>
      <w:r>
        <w:rPr>
          <w:bCs/>
          <w:color w:val="000000" w:themeColor="text1"/>
        </w:rPr>
        <w:t xml:space="preserve">не должны противоречить предлагаемым срокам поставки товара,</w:t>
      </w:r>
      <w:r>
        <w:rPr>
          <w:bCs/>
          <w:color w:val="000000" w:themeColor="text1"/>
        </w:rPr>
        <w:t xml:space="preserve"> </w:t>
      </w:r>
      <w:r>
        <w:rPr>
          <w:bCs/>
          <w:color w:val="000000" w:themeColor="text1"/>
        </w:rPr>
        <w:t xml:space="preserve">выполнения работ</w:t>
      </w:r>
      <w:r>
        <w:rPr>
          <w:bCs/>
          <w:color w:val="000000" w:themeColor="text1"/>
        </w:rPr>
        <w:t xml:space="preserve">, оказания услуг,</w:t>
      </w:r>
      <w:r>
        <w:rPr>
          <w:bCs/>
          <w:color w:val="000000" w:themeColor="text1"/>
        </w:rPr>
        <w:t xml:space="preserve"> указанным в заявке.</w:t>
      </w:r>
      <w:r>
        <w:rPr>
          <w:bCs/>
          <w:color w:val="000000" w:themeColor="text1"/>
        </w:rPr>
        <w:t xml:space="preserve"> </w:t>
      </w:r>
      <w:r>
        <w:t xml:space="preserve">Победитель</w:t>
      </w:r>
      <w:r>
        <w:t xml:space="preserve"> не в праве превышать единичные расценки, указанные в</w:t>
      </w:r>
      <w:r>
        <w:t xml:space="preserve"> </w:t>
      </w:r>
      <w:hyperlink w:tooltip="#P132" w:anchor="P132" w:history="1">
        <w:r>
          <w:rPr>
            <w:rStyle w:val="1218"/>
          </w:rPr>
          <w:t xml:space="preserve">п. 1.3.2 части I «ОБЩИЕ УСЛОВИЯ ПРОВЕДЕНИЯ ЗАКУПКИ»</w:t>
        </w:r>
      </w:hyperlink>
      <w:r>
        <w:rPr>
          <w:rStyle w:val="1218"/>
        </w:rPr>
        <w:t xml:space="preserve">.</w:t>
      </w:r>
      <w:r>
        <w:rPr>
          <w:rFonts w:cs="Arial"/>
          <w:bCs/>
          <w:color w:val="000000" w:themeColor="text1"/>
        </w:rPr>
      </w:r>
      <w:r>
        <w:rPr>
          <w:rFonts w:cs="Arial"/>
          <w:bCs/>
          <w:color w:val="000000" w:themeColor="text1"/>
        </w:rPr>
      </w:r>
    </w:p>
    <w:p>
      <w:pPr>
        <w:pStyle w:val="1150"/>
        <w:numPr>
          <w:ilvl w:val="2"/>
          <w:numId w:val="1"/>
        </w:numPr>
        <w:ind w:left="0" w:firstLine="567"/>
        <w:keepNext w:val="0"/>
        <w:spacing w:before="0" w:after="0"/>
        <w:rPr>
          <w:rStyle w:val="1218"/>
        </w:rPr>
      </w:pPr>
      <w:r>
        <w:rPr>
          <w:rFonts w:ascii="Times New Roman" w:hAnsi="Times New Roman" w:cs="Times New Roman"/>
          <w:b w:val="0"/>
        </w:rPr>
        <w:t xml:space="preserve">В случае если Победитель закупки (либо ед</w:t>
      </w:r>
      <w:r>
        <w:rPr>
          <w:rFonts w:ascii="Times New Roman" w:hAnsi="Times New Roman" w:cs="Times New Roman"/>
          <w:b w:val="0"/>
        </w:rPr>
        <w:t xml:space="preserve">инственный участник, признанный соответствующим требованиям документации о закупке), не предоставит в течение 3 (трех) рабочих дней с даты размещения в ЕИС итогового протокола заполненные приложения к договору, содержащие информацию о цене, а также сроках </w:t>
      </w:r>
      <w:r>
        <w:rPr>
          <w:rFonts w:ascii="Times New Roman" w:hAnsi="Times New Roman" w:cs="Times New Roman"/>
          <w:b w:val="0"/>
        </w:rPr>
        <w:t xml:space="preserve">поставки товара/</w:t>
      </w:r>
      <w:r>
        <w:rPr>
          <w:rFonts w:ascii="Times New Roman" w:hAnsi="Times New Roman" w:cs="Times New Roman"/>
          <w:b w:val="0"/>
        </w:rPr>
        <w:t xml:space="preserve">выполнения работ</w:t>
      </w:r>
      <w:r>
        <w:rPr>
          <w:rFonts w:ascii="Times New Roman" w:hAnsi="Times New Roman" w:cs="Times New Roman"/>
          <w:b w:val="0"/>
        </w:rPr>
        <w:t xml:space="preserve">/оказании услуг</w:t>
      </w:r>
      <w:r>
        <w:rPr>
          <w:rFonts w:ascii="Times New Roman" w:hAnsi="Times New Roman" w:cs="Times New Roman"/>
          <w:b w:val="0"/>
        </w:rPr>
        <w:t xml:space="preserve">, либо представит указанны</w:t>
      </w:r>
      <w:r>
        <w:rPr>
          <w:rFonts w:ascii="Times New Roman" w:hAnsi="Times New Roman" w:cs="Times New Roman"/>
          <w:b w:val="0"/>
        </w:rPr>
        <w:t xml:space="preserve">е сведения с нарушением условий</w:t>
      </w:r>
      <w:r>
        <w:rPr>
          <w:rFonts w:ascii="Times New Roman" w:hAnsi="Times New Roman" w:cs="Times New Roman"/>
          <w:b w:val="0"/>
        </w:rPr>
        <w:t xml:space="preserve">, установленных в </w:t>
      </w:r>
      <w:hyperlink w:tooltip="#_Победитель_закупки_(либо" w:anchor="_Победитель_закупки_(либо" w:history="1">
        <w:r>
          <w:rPr>
            <w:rStyle w:val="1218"/>
            <w:rFonts w:ascii="Times New Roman" w:hAnsi="Times New Roman" w:cs="Times New Roman"/>
            <w:b w:val="0"/>
          </w:rPr>
          <w:t xml:space="preserve">пункте 6.1.</w:t>
        </w:r>
      </w:hyperlink>
      <w:r>
        <w:rPr>
          <w:rStyle w:val="1218"/>
          <w:rFonts w:ascii="Times New Roman" w:hAnsi="Times New Roman" w:cs="Times New Roman"/>
          <w:b w:val="0"/>
        </w:rPr>
        <w:t xml:space="preserve">3</w:t>
      </w:r>
      <w:r>
        <w:rPr>
          <w:rStyle w:val="1218"/>
        </w:rPr>
        <w:t xml:space="preserve">, </w:t>
      </w:r>
      <w:r>
        <w:rPr>
          <w:rStyle w:val="1218"/>
          <w:rFonts w:ascii="Times New Roman" w:hAnsi="Times New Roman" w:cs="Times New Roman"/>
          <w:b w:val="0"/>
        </w:rPr>
        <w:t xml:space="preserve">части I «ОБЩИЕ УСЛОВИЯ ПРОВЕДЕНИЯ ЗАКУПКИ»</w:t>
      </w:r>
      <w:r>
        <w:rPr>
          <w:rStyle w:val="1218"/>
        </w:rPr>
        <w:t xml:space="preserve"> </w:t>
      </w:r>
      <w:r>
        <w:rPr>
          <w:rFonts w:ascii="Times New Roman" w:hAnsi="Times New Roman" w:cs="Times New Roman"/>
          <w:b w:val="0"/>
        </w:rPr>
        <w:t xml:space="preserve">указанные приложения будут сформированы Заказчиком </w:t>
      </w:r>
      <w:r>
        <w:rPr>
          <w:rFonts w:ascii="Times New Roman" w:hAnsi="Times New Roman" w:cs="Times New Roman"/>
          <w:b w:val="0"/>
        </w:rPr>
        <w:t xml:space="preserve">самостоятельно, а стоимость каждой позиции будет рассчитана путём применения единого понижающего коэффициента к единичным расценкам, указанным в </w:t>
      </w:r>
      <w:hyperlink w:tooltip="#_Начальная_(максимальная)_цена" w:anchor="_Начальная_(максимальная)_цена" w:history="1">
        <w:r>
          <w:rPr>
            <w:rStyle w:val="1218"/>
            <w:rFonts w:ascii="Times New Roman" w:hAnsi="Times New Roman" w:cs="Times New Roman"/>
            <w:b w:val="0"/>
          </w:rPr>
          <w:t xml:space="preserve">п. 1.3.2 части I «ОБЩИЕ УСЛОВИЯ ПРОВЕДЕНИЯ ЗАКУПКИ».</w:t>
        </w:r>
      </w:hyperlink>
      <w:r>
        <w:rPr>
          <w:rStyle w:val="1218"/>
        </w:rPr>
      </w:r>
      <w:r>
        <w:rPr>
          <w:rStyle w:val="1218"/>
        </w:rPr>
      </w:r>
    </w:p>
    <w:p>
      <w:pPr>
        <w:spacing w:before="120"/>
        <w:tabs>
          <w:tab w:val="left" w:pos="459" w:leader="none"/>
        </w:tabs>
      </w:pPr>
      <w:r>
        <w:tab/>
      </w:r>
      <w:r>
        <w:t xml:space="preserve">Понижающий коэффициент рассчитывается по формуле: </w:t>
      </w:r>
      <w:r/>
    </w:p>
    <w:p>
      <w:pPr>
        <w:jc w:val="center"/>
        <w:spacing w:before="120" w:after="120"/>
        <w:tabs>
          <w:tab w:val="left" w:pos="459" w:leader="none"/>
        </w:tabs>
      </w:pPr>
      <w:r>
        <w:rPr>
          <w:lang w:val="en-US"/>
        </w:rPr>
        <w:t xml:space="preserve">d</w:t>
      </w:r>
      <w:r>
        <w:t xml:space="preserve"> = </w:t>
      </w:r>
      <w:r>
        <w:rPr>
          <w:lang w:val="en-US"/>
        </w:rPr>
        <w:t xml:space="preserve">S</w:t>
      </w:r>
      <w:r>
        <w:t xml:space="preserve"> / </w:t>
      </w:r>
      <w:r>
        <w:rPr>
          <w:lang w:val="en-US"/>
        </w:rPr>
        <w:t xml:space="preserve">S</w:t>
      </w:r>
      <w:r>
        <w:rPr>
          <w:vertAlign w:val="subscript"/>
          <w:lang w:val="en-US"/>
        </w:rPr>
        <w:t xml:space="preserve">max</w:t>
      </w:r>
      <w:r>
        <w:t xml:space="preserve">,</w:t>
      </w:r>
      <w:r/>
    </w:p>
    <w:p>
      <w:pPr>
        <w:pStyle w:val="1311"/>
        <w:ind w:left="0"/>
        <w:jc w:val="both"/>
        <w:tabs>
          <w:tab w:val="left" w:pos="709" w:leader="none"/>
        </w:tabs>
      </w:pPr>
      <w:r>
        <w:t xml:space="preserve">где </w:t>
      </w:r>
      <w:r>
        <w:rPr>
          <w:lang w:val="en-US"/>
        </w:rPr>
        <w:t xml:space="preserve">d</w:t>
      </w:r>
      <w:r>
        <w:t xml:space="preserve"> – понижающий коэффициент;</w:t>
      </w:r>
      <w:r/>
    </w:p>
    <w:p>
      <w:pPr>
        <w:pStyle w:val="1311"/>
        <w:ind w:left="0"/>
        <w:jc w:val="both"/>
        <w:tabs>
          <w:tab w:val="left" w:pos="709" w:leader="none"/>
          <w:tab w:val="left" w:pos="1418" w:leader="none"/>
        </w:tabs>
        <w:rPr>
          <w:bCs/>
        </w:rPr>
      </w:pPr>
      <w:r>
        <w:rPr>
          <w:lang w:val="en-US"/>
        </w:rPr>
        <w:t xml:space="preserve">S</w:t>
      </w:r>
      <w:r>
        <w:t xml:space="preserve"> – условная итоговая стоимость заявки </w:t>
      </w:r>
      <w:r>
        <w:t xml:space="preserve">Победителя</w:t>
      </w:r>
      <w:r>
        <w:t xml:space="preserve"> (сумма произведений единичных расценок товара (работ, услуг), предложенных </w:t>
      </w:r>
      <w:r>
        <w:t xml:space="preserve">Победителем</w:t>
      </w:r>
      <w:r>
        <w:t xml:space="preserve"> закупки в Коммерческом предложении (ценовая часть заявки) и условного объема товара (работ, услуг), установленного в </w:t>
      </w:r>
      <w:r>
        <w:rPr>
          <w:highlight w:val="yellow"/>
        </w:rPr>
        <w:t xml:space="preserve">приложении 4 к настоящей документации</w:t>
      </w:r>
      <w:r>
        <w:t xml:space="preserve"> (форма Коммерческого предложения)), руб. с учетом всех налогов</w:t>
      </w:r>
      <w:r>
        <w:rPr>
          <w:bCs/>
        </w:rPr>
        <w:t xml:space="preserve">;</w:t>
      </w:r>
      <w:r>
        <w:rPr>
          <w:bCs/>
        </w:rPr>
      </w:r>
      <w:r>
        <w:rPr>
          <w:bCs/>
        </w:rPr>
      </w:r>
    </w:p>
    <w:p>
      <w:pPr>
        <w:pStyle w:val="1269"/>
        <w:numPr>
          <w:ilvl w:val="0"/>
          <w:numId w:val="0"/>
        </w:numPr>
        <w:tabs>
          <w:tab w:val="left" w:pos="709" w:leader="none"/>
          <w:tab w:val="left" w:pos="1418" w:leader="none"/>
        </w:tabs>
        <w:rPr>
          <w:bCs/>
        </w:rPr>
      </w:pPr>
      <w:r>
        <w:rPr>
          <w:lang w:val="en-US"/>
        </w:rPr>
        <w:t xml:space="preserve">S</w:t>
      </w:r>
      <w:r>
        <w:rPr>
          <w:vertAlign w:val="subscript"/>
          <w:lang w:val="en-US"/>
        </w:rPr>
        <w:t xml:space="preserve">max</w:t>
      </w:r>
      <w:r>
        <w:t xml:space="preserve"> </w:t>
      </w:r>
      <w:r>
        <w:rPr>
          <w:bCs/>
        </w:rPr>
        <w:t xml:space="preserve">– условная начальная (максимальная) цена договора (цена лота).</w:t>
      </w:r>
      <w:r>
        <w:rPr>
          <w:bCs/>
        </w:rPr>
      </w:r>
      <w:r>
        <w:rPr>
          <w:bCs/>
        </w:rPr>
      </w:r>
    </w:p>
    <w:p>
      <w:pPr>
        <w:pStyle w:val="115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</w:t>
      </w:r>
      <w:r>
        <w:rPr>
          <w:rFonts w:ascii="Times New Roman" w:hAnsi="Times New Roman" w:cs="Times New Roman"/>
          <w:b w:val="0"/>
        </w:rPr>
        <w:t xml:space="preserve">, </w:t>
      </w:r>
      <w:r>
        <w:rPr>
          <w:rFonts w:ascii="Times New Roman" w:hAnsi="Times New Roman" w:cs="Times New Roman"/>
          <w:b w:val="0"/>
        </w:rPr>
        <w:t xml:space="preserve">в том числе посредством использования программно-аппаратных средств ЭТП.</w:t>
      </w:r>
      <w:r>
        <w:rPr>
          <w:rFonts w:ascii="Times New Roman" w:hAnsi="Times New Roman" w:cs="Times New Roman"/>
          <w:b w:val="0"/>
        </w:rPr>
        <w:t xml:space="preserve"> В случае необходимости одобрения органом управления Заказчика в соответствии с законодательством Российской Феде</w:t>
      </w:r>
      <w:r>
        <w:rPr>
          <w:rFonts w:ascii="Times New Roman" w:hAnsi="Times New Roman" w:cs="Times New Roman"/>
          <w:b w:val="0"/>
        </w:rPr>
        <w:t xml:space="preserve">рации заключения договора или в случае обжалования в антимонопольном органе либо в судебном порядке действий (бездействия) Заказчика, закупочной комиссии, оператора электронной площадки договор должен быть заключен в сроки, установленные законодательством.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115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Заказчик направляет участнику закупки на адрес, указанный в заявке такого участника (путем направления электронного документа, либо путем направления бумажной версии докуме</w:t>
      </w:r>
      <w:r>
        <w:rPr>
          <w:rFonts w:ascii="Times New Roman" w:hAnsi="Times New Roman" w:cs="Times New Roman"/>
          <w:b w:val="0"/>
          <w:bCs w:val="0"/>
        </w:rPr>
        <w:t xml:space="preserve">нта)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организационно-распорядительными документами Заказчика. Участник подписывает проект договора в течение 3 (трех) р</w:t>
      </w:r>
      <w:r>
        <w:rPr>
          <w:rFonts w:ascii="Times New Roman" w:hAnsi="Times New Roman" w:cs="Times New Roman"/>
          <w:b w:val="0"/>
          <w:bCs w:val="0"/>
        </w:rPr>
        <w:t xml:space="preserve">абочих дней и направляет его Заказчику. Заказчик после получения проекта договора, подписанного участником обеспечивает подписание такого договора в срок, не превышающий 20 (двадцати) дней с даты размещения в ЕИС итогового протокола по результатам закупки.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5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 наличия разногласий по проекту договора, направленному З</w:t>
      </w:r>
      <w:r>
        <w:rPr>
          <w:rFonts w:ascii="Times New Roman" w:hAnsi="Times New Roman" w:cs="Times New Roman"/>
          <w:b w:val="0"/>
          <w:bCs w:val="0"/>
        </w:rPr>
        <w:t xml:space="preserve">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</w:t>
      </w:r>
      <w:r>
        <w:rPr>
          <w:rFonts w:ascii="Times New Roman" w:hAnsi="Times New Roman" w:cs="Times New Roman"/>
          <w:b w:val="0"/>
          <w:bCs w:val="0"/>
        </w:rPr>
        <w:t xml:space="preserve">ротокол разногласий направляется Заказчику в срок не более 2 (двух) рабочих дней с момента получения проекта договора. Заказчик в срок не более 2 (двух) рабочих дней с момента получения протокола разногласий рассматривает протокол разногласий и направляет </w:t>
      </w:r>
      <w:r>
        <w:rPr>
          <w:rFonts w:ascii="Times New Roman" w:hAnsi="Times New Roman" w:cs="Times New Roman"/>
          <w:b w:val="0"/>
          <w:bCs w:val="0"/>
        </w:rPr>
        <w:t xml:space="preserve">участнику такой закупки,</w:t>
      </w:r>
      <w:r>
        <w:rPr>
          <w:rFonts w:ascii="Times New Roman" w:hAnsi="Times New Roman" w:cs="Times New Roman"/>
          <w:b w:val="0"/>
          <w:bCs w:val="0"/>
        </w:rPr>
        <w:t xml:space="preserve">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</w:t>
      </w:r>
      <w:r>
        <w:rPr>
          <w:rFonts w:ascii="Times New Roman" w:hAnsi="Times New Roman" w:cs="Times New Roman"/>
          <w:b w:val="0"/>
          <w:bCs w:val="0"/>
        </w:rPr>
        <w:t xml:space="preserve"> в срок не более 3 (трех) рабочих дней. Заказчик после получения проекта договора, подписанного участником обеспечивает подписание такого договора в срок, не превышающий 20 (двадцати) дней с даты размещения в ЕИС итогового протокола по результатам закупки.</w:t>
      </w:r>
      <w:r>
        <w:t xml:space="preserve">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5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Условие о подсудности разрешения споров по договору, указанное в </w:t>
      </w:r>
      <w:hyperlink w:tooltip="#_ФОРМА_15._Справка" w:anchor="_ФОРМА_15._Справка" w:history="1">
        <w:r>
          <w:rPr>
            <w:rStyle w:val="1218"/>
            <w:rFonts w:ascii="Times New Roman" w:hAnsi="Times New Roman" w:cs="Times New Roman"/>
            <w:b w:val="0"/>
            <w:bCs w:val="0"/>
          </w:rPr>
          <w:t xml:space="preserve">части</w:t>
        </w:r>
        <w:r>
          <w:rPr>
            <w:rStyle w:val="1218"/>
            <w:rFonts w:ascii="Times New Roman" w:hAnsi="Times New Roman" w:cs="Times New Roman"/>
            <w:b w:val="0"/>
            <w:bCs w:val="0"/>
          </w:rPr>
          <w:t xml:space="preserve"> IV «Проект </w:t>
        </w:r>
        <w:r>
          <w:rPr>
            <w:rStyle w:val="1218"/>
            <w:rFonts w:ascii="Times New Roman" w:hAnsi="Times New Roman" w:cs="Times New Roman"/>
            <w:b w:val="0"/>
            <w:bCs w:val="0"/>
          </w:rPr>
          <w:t xml:space="preserve">договора»</w:t>
        </w:r>
      </w:hyperlink>
      <w:r>
        <w:rPr>
          <w:rFonts w:ascii="Times New Roman" w:hAnsi="Times New Roman" w:cs="Times New Roman"/>
          <w:b w:val="0"/>
          <w:bCs w:val="0"/>
        </w:rPr>
        <w:t xml:space="preserve"> настоящей</w:t>
      </w:r>
      <w:r>
        <w:rPr>
          <w:rFonts w:ascii="Times New Roman" w:hAnsi="Times New Roman" w:cs="Times New Roman"/>
          <w:b w:val="0"/>
          <w:bCs w:val="0"/>
        </w:rPr>
        <w:t xml:space="preserve"> документации является существенным условием и не подлежит изменению при проведении преддоговорных переговоров (в случае их проведения). Направление протокола разногласий к договору об </w:t>
      </w:r>
      <w:r>
        <w:rPr>
          <w:rFonts w:ascii="Times New Roman" w:hAnsi="Times New Roman" w:cs="Times New Roman"/>
          <w:b w:val="0"/>
          <w:bCs w:val="0"/>
        </w:rPr>
        <w:t xml:space="preserve">изменении подсудности</w:t>
      </w:r>
      <w:r>
        <w:rPr>
          <w:rFonts w:ascii="Times New Roman" w:hAnsi="Times New Roman" w:cs="Times New Roman"/>
          <w:b w:val="0"/>
          <w:bCs w:val="0"/>
        </w:rPr>
        <w:t xml:space="preserve"> разрешения споров по договору будет рассматриваться Заказчиком как уклонение от заключения договора.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49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354" w:name="_Toc39"/>
      <w:r/>
      <w:bookmarkStart w:id="155" w:name="_Обеспечения_исполнения_договора,_1"/>
      <w:r/>
      <w:bookmarkEnd w:id="155"/>
      <w:r>
        <w:rPr>
          <w:sz w:val="24"/>
          <w:szCs w:val="24"/>
        </w:rPr>
        <w:t xml:space="preserve">Обеспечения исполнения договора, порядок предоставления такого обеспечения, требования к такому обеспечению</w:t>
      </w:r>
      <w:r>
        <w:rPr>
          <w:sz w:val="24"/>
          <w:szCs w:val="24"/>
        </w:rPr>
      </w:r>
      <w:bookmarkEnd w:id="354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5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Заказчик вправе установить в документации о закупке требование к обеспечению исполнения договора. Информация об установлении требования о предоставлении обеспечения исполнения договора и размер такого обеспечения указывается в </w:t>
      </w:r>
      <w:hyperlink w:tooltip="#_Размер_обеспечения_исполнения" w:anchor="_Размер_обеспечения_исполнения" w:history="1">
        <w:r>
          <w:rPr>
            <w:rStyle w:val="1218"/>
            <w:rFonts w:ascii="Times New Roman" w:hAnsi="Times New Roman" w:cs="Times New Roman"/>
            <w:b w:val="0"/>
            <w:bCs w:val="0"/>
          </w:rPr>
          <w:t xml:space="preserve">пункте </w:t>
        </w:r>
        <w:r>
          <w:rPr>
            <w:rStyle w:val="1218"/>
            <w:rFonts w:ascii="Times New Roman" w:hAnsi="Times New Roman" w:cs="Times New Roman"/>
            <w:b w:val="0"/>
            <w:bCs w:val="0"/>
          </w:rPr>
          <w:t xml:space="preserve">21</w:t>
        </w:r>
        <w:r>
          <w:rPr>
            <w:rStyle w:val="1218"/>
            <w:rFonts w:ascii="Times New Roman" w:hAnsi="Times New Roman" w:cs="Times New Roman"/>
            <w:b w:val="0"/>
            <w:bCs w:val="0"/>
          </w:rPr>
          <w:t xml:space="preserve"> </w:t>
        </w:r>
        <w:r>
          <w:rPr>
            <w:rStyle w:val="1218"/>
            <w:rFonts w:ascii="Times New Roman" w:hAnsi="Times New Roman" w:cs="Times New Roman"/>
            <w:b w:val="0"/>
            <w:bCs w:val="0"/>
          </w:rPr>
          <w:t xml:space="preserve">части</w:t>
        </w:r>
        <w:r>
          <w:rPr>
            <w:rStyle w:val="1218"/>
            <w:rFonts w:ascii="Times New Roman" w:hAnsi="Times New Roman" w:cs="Times New Roman"/>
            <w:b w:val="0"/>
            <w:bCs w:val="0"/>
          </w:rPr>
          <w:t xml:space="preserve"> II «ИНФОРМАЦИОННАЯ КАРТА ЗАКУПКИ»</w:t>
        </w:r>
      </w:hyperlink>
      <w:r>
        <w:rPr>
          <w:rFonts w:ascii="Times New Roman" w:hAnsi="Times New Roman" w:cs="Times New Roman"/>
          <w:b w:val="0"/>
          <w:bCs w:val="0"/>
        </w:rPr>
        <w:t xml:space="preserve">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5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Обеспечение исполнения договора может быть представлено в форме внесения денежных средств на счет Заказчика, указанный в </w:t>
      </w:r>
      <w:hyperlink w:tooltip="#_Размер_обеспечения_исполнения" w:anchor="_Размер_обеспечения_исполнения" w:history="1">
        <w:r>
          <w:rPr>
            <w:rStyle w:val="1218"/>
            <w:rFonts w:ascii="Times New Roman" w:hAnsi="Times New Roman" w:cs="Times New Roman"/>
            <w:b w:val="0"/>
            <w:bCs w:val="0"/>
          </w:rPr>
          <w:t xml:space="preserve">пункте </w:t>
        </w:r>
        <w:r>
          <w:rPr>
            <w:rStyle w:val="1218"/>
            <w:rFonts w:ascii="Times New Roman" w:hAnsi="Times New Roman" w:cs="Times New Roman"/>
            <w:b w:val="0"/>
            <w:bCs w:val="0"/>
          </w:rPr>
          <w:t xml:space="preserve">21</w:t>
        </w:r>
        <w:r>
          <w:rPr>
            <w:rStyle w:val="1218"/>
            <w:rFonts w:ascii="Times New Roman" w:hAnsi="Times New Roman" w:cs="Times New Roman"/>
            <w:b w:val="0"/>
            <w:bCs w:val="0"/>
          </w:rPr>
          <w:t xml:space="preserve"> </w:t>
        </w:r>
        <w:r>
          <w:rPr>
            <w:rStyle w:val="1218"/>
            <w:rFonts w:ascii="Times New Roman" w:hAnsi="Times New Roman" w:cs="Times New Roman"/>
            <w:b w:val="0"/>
            <w:bCs w:val="0"/>
          </w:rPr>
          <w:t xml:space="preserve">части</w:t>
        </w:r>
        <w:r>
          <w:rPr>
            <w:rStyle w:val="1218"/>
            <w:rFonts w:ascii="Times New Roman" w:hAnsi="Times New Roman" w:cs="Times New Roman"/>
            <w:b w:val="0"/>
            <w:bCs w:val="0"/>
          </w:rPr>
          <w:t xml:space="preserve"> II «ИНФОРМАЦИОННАЯ КАРТА ЗАКУПКИ»</w:t>
        </w:r>
      </w:hyperlink>
      <w:r>
        <w:rPr>
          <w:rFonts w:ascii="Times New Roman" w:hAnsi="Times New Roman" w:cs="Times New Roman"/>
          <w:b w:val="0"/>
          <w:bCs w:val="0"/>
        </w:rPr>
        <w:t xml:space="preserve"> в форме независимой гарантии, а для лиц, указанных в </w:t>
      </w:r>
      <w:hyperlink w:tooltip="#_В_случае_если_2" w:anchor="_В_случае_если_2" w:history="1">
        <w:r>
          <w:rPr>
            <w:rStyle w:val="1218"/>
            <w:rFonts w:ascii="Times New Roman" w:hAnsi="Times New Roman" w:cs="Times New Roman"/>
            <w:b w:val="0"/>
            <w:bCs w:val="0"/>
          </w:rPr>
          <w:t xml:space="preserve">п.</w:t>
        </w:r>
        <w:r>
          <w:rPr>
            <w:rStyle w:val="1218"/>
            <w:rFonts w:ascii="Times New Roman" w:hAnsi="Times New Roman" w:cs="Times New Roman"/>
            <w:b w:val="0"/>
            <w:bCs w:val="0"/>
          </w:rPr>
          <w:t xml:space="preserve"> </w:t>
        </w:r>
        <w:r>
          <w:rPr>
            <w:rStyle w:val="1218"/>
            <w:rFonts w:ascii="Times New Roman" w:hAnsi="Times New Roman" w:cs="Times New Roman"/>
            <w:b w:val="0"/>
            <w:bCs w:val="0"/>
          </w:rPr>
          <w:t xml:space="preserve">6.2.</w:t>
        </w:r>
        <w:r>
          <w:rPr>
            <w:rStyle w:val="1218"/>
            <w:rFonts w:ascii="Times New Roman" w:hAnsi="Times New Roman" w:cs="Times New Roman"/>
            <w:b w:val="0"/>
            <w:bCs w:val="0"/>
          </w:rPr>
          <w:t xml:space="preserve">4</w:t>
        </w:r>
      </w:hyperlink>
      <w:r>
        <w:rPr>
          <w:rFonts w:ascii="Times New Roman" w:hAnsi="Times New Roman" w:cs="Times New Roman"/>
          <w:b w:val="0"/>
          <w:bCs w:val="0"/>
        </w:rPr>
        <w:t xml:space="preserve"> - в форме поручительства</w:t>
      </w:r>
      <w:r>
        <w:rPr>
          <w:rFonts w:ascii="Times New Roman" w:hAnsi="Times New Roman" w:cs="Times New Roman"/>
          <w:b w:val="0"/>
          <w:bCs w:val="0"/>
        </w:rPr>
        <w:t xml:space="preserve">. Выбор способа обеспечения </w:t>
      </w:r>
      <w:r>
        <w:rPr>
          <w:rFonts w:ascii="Times New Roman" w:hAnsi="Times New Roman" w:cs="Times New Roman"/>
          <w:b w:val="0"/>
          <w:bCs w:val="0"/>
        </w:rPr>
        <w:t xml:space="preserve">исполнения договора</w:t>
      </w:r>
      <w:r>
        <w:rPr>
          <w:rFonts w:ascii="Times New Roman" w:hAnsi="Times New Roman" w:cs="Times New Roman"/>
          <w:b w:val="0"/>
          <w:bCs w:val="0"/>
        </w:rPr>
        <w:t xml:space="preserve"> осуществляется участником закупки самостоятельно</w:t>
      </w:r>
      <w:r>
        <w:rPr>
          <w:rFonts w:ascii="Times New Roman" w:hAnsi="Times New Roman" w:cs="Times New Roman"/>
          <w:b w:val="0"/>
          <w:bCs w:val="0"/>
        </w:rPr>
        <w:t xml:space="preserve">, </w:t>
      </w:r>
      <w:r>
        <w:rPr>
          <w:rFonts w:ascii="Times New Roman" w:hAnsi="Times New Roman" w:cs="Times New Roman"/>
          <w:b w:val="0"/>
        </w:rPr>
        <w:t xml:space="preserve">при этом для предоставления обеспечения в форме поручительства необходимо получить согласование Заказчика.</w:t>
      </w:r>
      <w:r>
        <w:rPr>
          <w:rFonts w:ascii="Times New Roman" w:hAnsi="Times New Roman" w:cs="Times New Roman"/>
          <w:b w:val="0"/>
          <w:bCs w:val="0"/>
        </w:rPr>
        <w:t xml:space="preserve"> Предоставление обеспечения иным, не указанным в настоящей документации о закупке способом не допускается.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50"/>
        <w:numPr>
          <w:ilvl w:val="2"/>
          <w:numId w:val="1"/>
        </w:numPr>
        <w:ind w:left="0" w:firstLine="567"/>
        <w:keepNext w:val="0"/>
        <w:spacing w:before="0" w:after="0"/>
        <w:rPr>
          <w:rStyle w:val="1218"/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Срок предоставления обеспечения исполнени</w:t>
      </w:r>
      <w:r>
        <w:rPr>
          <w:rFonts w:ascii="Times New Roman" w:hAnsi="Times New Roman" w:cs="Times New Roman"/>
          <w:b w:val="0"/>
          <w:bCs w:val="0"/>
        </w:rPr>
        <w:t xml:space="preserve">я</w:t>
      </w:r>
      <w:r>
        <w:rPr>
          <w:rFonts w:ascii="Times New Roman" w:hAnsi="Times New Roman" w:cs="Times New Roman"/>
          <w:b w:val="0"/>
          <w:bCs w:val="0"/>
        </w:rPr>
        <w:t xml:space="preserve"> договора устанавливается в </w:t>
      </w:r>
      <w:hyperlink w:tooltip="#_ПРОЕКТ_ДОГОВОРА" w:anchor="_ПРОЕКТ_ДОГОВОРА" w:history="1">
        <w:r>
          <w:rPr>
            <w:rStyle w:val="1218"/>
            <w:rFonts w:ascii="Times New Roman" w:hAnsi="Times New Roman" w:cs="Times New Roman"/>
            <w:b w:val="0"/>
            <w:bCs w:val="0"/>
          </w:rPr>
          <w:t xml:space="preserve">IV «Проект договора».</w:t>
        </w:r>
      </w:hyperlink>
      <w:r>
        <w:rPr>
          <w:rStyle w:val="1218"/>
          <w:rFonts w:ascii="Times New Roman" w:hAnsi="Times New Roman" w:cs="Times New Roman"/>
          <w:b w:val="0"/>
          <w:bCs w:val="0"/>
        </w:rPr>
      </w:r>
      <w:r>
        <w:rPr>
          <w:rStyle w:val="1218"/>
          <w:rFonts w:ascii="Times New Roman" w:hAnsi="Times New Roman" w:cs="Times New Roman"/>
          <w:b w:val="0"/>
          <w:bCs w:val="0"/>
        </w:rPr>
      </w:r>
    </w:p>
    <w:p>
      <w:pPr>
        <w:numPr>
          <w:ilvl w:val="2"/>
          <w:numId w:val="1"/>
        </w:numPr>
        <w:ind w:left="0" w:firstLine="567"/>
        <w:spacing w:after="0"/>
        <w:rPr>
          <w:bCs/>
        </w:rPr>
        <w:outlineLvl w:val="2"/>
      </w:pPr>
      <w:r/>
      <w:bookmarkStart w:id="162" w:name="_В_случае_если_2"/>
      <w:r/>
      <w:bookmarkEnd w:id="162"/>
      <w:r>
        <w:rPr>
          <w:bCs/>
        </w:rPr>
        <w:t xml:space="preserve">В случае если по результатам закупки договор заключается с организациями, в отношении которых иностранными государствами введены ограничительные меры, а также организациями, в отношении бенефициарных </w:t>
      </w:r>
      <w:r>
        <w:rPr>
          <w:bCs/>
          <w:spacing w:val="-4"/>
        </w:rPr>
        <w:t xml:space="preserve">владельцев (если совокупная доля их прямого и (или) косвенного участия в этой</w:t>
      </w:r>
      <w:r>
        <w:rPr>
          <w:bCs/>
        </w:rPr>
        <w:t xml:space="preserve"> организации составляет не ме</w:t>
      </w:r>
      <w:r>
        <w:rPr>
          <w:bCs/>
        </w:rPr>
        <w:t xml:space="preserve">нее 25 процентов) которых иностранными государствами введены ограничительные меры, обеспечение исполнения договора может быть представлено в форме поручительства аффилированных с такими организациями – участниками закупки лиц (далее – Аффилированные лица).</w:t>
      </w:r>
      <w:r>
        <w:rPr>
          <w:bCs/>
        </w:rPr>
      </w:r>
      <w:r>
        <w:rPr>
          <w:bCs/>
        </w:rPr>
      </w:r>
    </w:p>
    <w:p>
      <w:pPr>
        <w:pStyle w:val="115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/>
      <w:bookmarkStart w:id="165" w:name="_Поручительство_Аффилированного_лица"/>
      <w:r/>
      <w:bookmarkEnd w:id="165"/>
      <w:r>
        <w:rPr>
          <w:rFonts w:ascii="Times New Roman" w:hAnsi="Times New Roman" w:cs="Times New Roman"/>
          <w:b w:val="0"/>
          <w:bCs w:val="0"/>
        </w:rPr>
        <w:t xml:space="preserve">Поручительство Аффилированного лица, может быть принято при условии соблюдения следующих требований: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ind w:firstLine="567"/>
        <w:tabs>
          <w:tab w:val="left" w:pos="1134" w:leader="none"/>
        </w:tabs>
        <w:rPr>
          <w:rStyle w:val="1352"/>
        </w:rPr>
      </w:pPr>
      <w:r>
        <w:rPr>
          <w:rStyle w:val="1352"/>
        </w:rPr>
        <w:t xml:space="preserve">а)</w:t>
      </w:r>
      <w:r>
        <w:rPr>
          <w:rStyle w:val="1352"/>
        </w:rPr>
        <w:tab/>
        <w:t xml:space="preserve">наличие кредитного рейтинга не ниже категории «А» п</w:t>
      </w:r>
      <w:r>
        <w:rPr>
          <w:rStyle w:val="1352"/>
        </w:rPr>
        <w:t xml:space="preserve">о национальной рейтинговой шкале для Российской Федерации кредитного рейтингового агентства Аналитическое Кредитное Рейтинговое Агентство (Акционерное общество) или кредитного рейтингового агентства Акционерное общество «Рейтинговое Агентство «Эксперт РА»;</w:t>
      </w:r>
      <w:r>
        <w:rPr>
          <w:rStyle w:val="1352"/>
        </w:rPr>
      </w:r>
      <w:r>
        <w:rPr>
          <w:rStyle w:val="1352"/>
        </w:rPr>
      </w:r>
    </w:p>
    <w:p>
      <w:pPr>
        <w:ind w:firstLine="567"/>
        <w:tabs>
          <w:tab w:val="left" w:pos="1134" w:leader="none"/>
        </w:tabs>
        <w:rPr>
          <w:rStyle w:val="1352"/>
        </w:rPr>
      </w:pPr>
      <w:r>
        <w:rPr>
          <w:rStyle w:val="1352"/>
        </w:rPr>
        <w:t xml:space="preserve">б)</w:t>
      </w:r>
      <w:r>
        <w:rPr>
          <w:rStyle w:val="1352"/>
        </w:rPr>
        <w:tab/>
        <w:t xml:space="preserve">представление Обществу сведений, подтверждающих </w:t>
      </w:r>
      <w:r>
        <w:rPr>
          <w:rStyle w:val="1352"/>
        </w:rPr>
        <w:t xml:space="preserve">платежеспособность Аффилированного лица (ежегодную или квартальную бухгалтерскую (финансовую) отчетность на последнюю отчетную дату) (в копиях с отметкой Федеральной налоговой службы, заверенных печатью организации и подписанных руководителем организации).</w:t>
      </w:r>
      <w:r>
        <w:rPr>
          <w:rStyle w:val="1352"/>
        </w:rPr>
      </w:r>
      <w:r>
        <w:rPr>
          <w:rStyle w:val="1352"/>
        </w:rPr>
      </w:r>
    </w:p>
    <w:p>
      <w:pPr>
        <w:ind w:firstLine="567"/>
        <w:spacing w:after="0"/>
        <w:tabs>
          <w:tab w:val="left" w:pos="567" w:leader="none"/>
          <w:tab w:val="left" w:pos="993" w:leader="none"/>
        </w:tabs>
        <w:rPr>
          <w:bCs/>
        </w:rPr>
        <w:outlineLvl w:val="2"/>
      </w:pPr>
      <w:r>
        <w:rPr>
          <w:rStyle w:val="1352"/>
        </w:rPr>
        <w:t xml:space="preserve">в)</w:t>
      </w:r>
      <w:r>
        <w:rPr>
          <w:rStyle w:val="1352"/>
        </w:rPr>
        <w:tab/>
      </w:r>
      <w:r>
        <w:rPr>
          <w:bCs/>
        </w:rPr>
        <w:t xml:space="preserve">принятие обязательств письменно извещать Общество в течение 3 рабочих дней с даты наступления следующих событий:</w:t>
      </w:r>
      <w:r>
        <w:rPr>
          <w:bCs/>
        </w:rPr>
      </w:r>
      <w:r>
        <w:rPr>
          <w:bCs/>
        </w:rPr>
      </w:r>
    </w:p>
    <w:p>
      <w:pPr>
        <w:numPr>
          <w:ilvl w:val="0"/>
          <w:numId w:val="45"/>
        </w:numPr>
        <w:ind w:left="0" w:firstLine="567"/>
        <w:spacing w:after="0"/>
        <w:rPr>
          <w:rStyle w:val="1353"/>
          <w:rFonts w:eastAsia="Symbol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Style w:val="1353"/>
          <w:rFonts w:eastAsia="Symbol"/>
        </w:rPr>
        <w:t xml:space="preserve">предъявление к Аффилированному лицу имущественных требований, превышающих 10 процентов балансовой стоимости активов Аффилированного лица со стороны третьих лиц;</w:t>
      </w:r>
      <w:r>
        <w:rPr>
          <w:rStyle w:val="1353"/>
          <w:rFonts w:eastAsia="Symbol"/>
        </w:rPr>
      </w:r>
      <w:r>
        <w:rPr>
          <w:rStyle w:val="1353"/>
          <w:rFonts w:eastAsia="Symbol"/>
        </w:rPr>
      </w:r>
    </w:p>
    <w:p>
      <w:pPr>
        <w:numPr>
          <w:ilvl w:val="0"/>
          <w:numId w:val="45"/>
        </w:numPr>
        <w:ind w:left="0" w:firstLine="567"/>
        <w:spacing w:after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Style w:val="1353"/>
          <w:rFonts w:eastAsia="Symbol"/>
        </w:rPr>
        <w:t xml:space="preserve">возбуждение в отношении руководителя Аффилированного лица уголовного дела в соответствии с уголовно-процессуальным законодательством Российской Федерации;</w:t>
      </w:r>
      <w:r/>
    </w:p>
    <w:p>
      <w:pPr>
        <w:numPr>
          <w:ilvl w:val="0"/>
          <w:numId w:val="45"/>
        </w:numPr>
        <w:ind w:left="0" w:firstLine="567"/>
        <w:spacing w:after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Style w:val="1353"/>
          <w:rFonts w:eastAsia="Symbol"/>
        </w:rPr>
        <w:t xml:space="preserve">изменение местонахождения, учредительных документов, органов управления Аффилированного лица, банковских реквизитов Аффилированного лица;</w:t>
      </w:r>
      <w:r/>
    </w:p>
    <w:p>
      <w:pPr>
        <w:numPr>
          <w:ilvl w:val="0"/>
          <w:numId w:val="45"/>
        </w:numPr>
        <w:ind w:left="0" w:firstLine="567"/>
        <w:spacing w:after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Style w:val="1353"/>
          <w:rFonts w:eastAsia="Symbol"/>
        </w:rPr>
        <w:t xml:space="preserve">принятие решения о реорганизации или ликвидации Аффилированного лица;</w:t>
      </w:r>
      <w:r/>
    </w:p>
    <w:p>
      <w:pPr>
        <w:ind w:firstLine="567"/>
        <w:rPr>
          <w:rStyle w:val="1352"/>
        </w:rPr>
      </w:pPr>
      <w:r>
        <w:rPr>
          <w:rStyle w:val="1352"/>
        </w:rPr>
        <w:t xml:space="preserve">- принятие судом к производству заявления о признании Аффилированного лица несостоятельным (банкротом);</w:t>
      </w:r>
      <w:r>
        <w:rPr>
          <w:rStyle w:val="1352"/>
        </w:rPr>
      </w:r>
      <w:r>
        <w:rPr>
          <w:rStyle w:val="1352"/>
        </w:rPr>
      </w:r>
    </w:p>
    <w:p>
      <w:pPr>
        <w:ind w:firstLine="567"/>
        <w:tabs>
          <w:tab w:val="left" w:pos="1276" w:leader="none"/>
        </w:tabs>
        <w:rPr>
          <w:rStyle w:val="1352"/>
        </w:rPr>
      </w:pPr>
      <w:r>
        <w:rPr>
          <w:rStyle w:val="1352"/>
        </w:rPr>
        <w:t xml:space="preserve">г) представление Обществу письма (оригинал), подтверждающего, что в отношении контрагента участника закупки/бенефициарного владельца контраг</w:t>
      </w:r>
      <w:r>
        <w:rPr>
          <w:rStyle w:val="1352"/>
        </w:rPr>
        <w:t xml:space="preserve">ента иностранными государствами введены ограничительные меры, а также содержащее сопроводительные документы, подтверждающие достоверность представленных в письме сведений со ссылкой на источники информации (оригинал/копия, заверенная Аффилированным лицом);</w:t>
      </w:r>
      <w:r>
        <w:rPr>
          <w:rStyle w:val="1352"/>
        </w:rPr>
      </w:r>
      <w:r>
        <w:rPr>
          <w:rStyle w:val="1352"/>
        </w:rPr>
      </w:r>
    </w:p>
    <w:p>
      <w:pPr>
        <w:ind w:firstLine="567"/>
        <w:tabs>
          <w:tab w:val="left" w:pos="1276" w:leader="none"/>
        </w:tabs>
        <w:rPr>
          <w:rStyle w:val="1352"/>
        </w:rPr>
      </w:pPr>
      <w:r>
        <w:rPr>
          <w:rStyle w:val="1352"/>
        </w:rPr>
        <w:t xml:space="preserve">д) представление документов, подтверждающих аффилированность лица с контрагентом, в отношении которого предоставляется поручительство (оригинал/ копия, заверенная Аффилированным лицом);</w:t>
      </w:r>
      <w:r>
        <w:rPr>
          <w:rStyle w:val="1352"/>
        </w:rPr>
      </w:r>
      <w:r>
        <w:rPr>
          <w:rStyle w:val="1352"/>
        </w:rPr>
      </w:r>
    </w:p>
    <w:p>
      <w:pPr>
        <w:ind w:firstLine="567"/>
        <w:tabs>
          <w:tab w:val="left" w:pos="1276" w:leader="none"/>
        </w:tabs>
        <w:rPr>
          <w:rStyle w:val="1352"/>
        </w:rPr>
      </w:pPr>
      <w:r>
        <w:rPr>
          <w:rStyle w:val="1352"/>
        </w:rPr>
        <w:t xml:space="preserve">е) представление иных дополнительных документов либо сведений по запросу Общества при наступлении одного из событий, указанных в </w:t>
      </w:r>
      <w:hyperlink w:tooltip="#_Поручительство_Аффилированного_лица" w:anchor="_Поручительство_Аффилированного_лица" w:history="1">
        <w:r>
          <w:rPr>
            <w:rStyle w:val="1218"/>
          </w:rPr>
          <w:t xml:space="preserve">п. 6.2.5</w:t>
        </w:r>
      </w:hyperlink>
      <w:r>
        <w:rPr>
          <w:rStyle w:val="1352"/>
        </w:rPr>
        <w:t xml:space="preserve"> (подпун</w:t>
      </w:r>
      <w:r>
        <w:rPr>
          <w:rStyle w:val="1352"/>
        </w:rPr>
        <w:t xml:space="preserve">кт «в») настоящей закупочной документации</w:t>
      </w:r>
      <w:r>
        <w:rPr>
          <w:rStyle w:val="1352"/>
        </w:rPr>
        <w:t xml:space="preserve">.</w:t>
      </w:r>
      <w:r>
        <w:rPr>
          <w:rStyle w:val="1352"/>
        </w:rPr>
      </w:r>
      <w:r>
        <w:rPr>
          <w:rStyle w:val="1352"/>
        </w:rPr>
      </w:r>
    </w:p>
    <w:p>
      <w:pPr>
        <w:pStyle w:val="115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  <w:color w:val="0000ff"/>
          <w:u w:val="single"/>
        </w:rPr>
      </w:pPr>
      <w:r>
        <w:rPr>
          <w:rFonts w:ascii="Times New Roman" w:hAnsi="Times New Roman" w:cs="Times New Roman"/>
          <w:b w:val="0"/>
          <w:bCs w:val="0"/>
        </w:rPr>
        <w:t xml:space="preserve">Денежные </w:t>
      </w:r>
      <w:r>
        <w:rPr>
          <w:rFonts w:ascii="Times New Roman" w:hAnsi="Times New Roman" w:cs="Times New Roman"/>
          <w:b w:val="0"/>
          <w:bCs w:val="0"/>
        </w:rPr>
        <w:t xml:space="preserve">средства, внесенные в качестве обеспечения исполнения договора возвращаются участнику в сроки, указанные в </w:t>
      </w:r>
      <w:r>
        <w:rPr>
          <w:rFonts w:ascii="Times New Roman" w:hAnsi="Times New Roman" w:cs="Times New Roman"/>
          <w:b w:val="0"/>
          <w:bCs w:val="0"/>
        </w:rPr>
        <w:t xml:space="preserve">части</w:t>
      </w:r>
      <w:r>
        <w:rPr>
          <w:rFonts w:ascii="Times New Roman" w:hAnsi="Times New Roman" w:cs="Times New Roman"/>
          <w:b w:val="0"/>
          <w:bCs w:val="0"/>
        </w:rPr>
        <w:t xml:space="preserve"> </w:t>
      </w:r>
      <w:hyperlink w:tooltip="#_ПРОЕКТ_ДОГОВОРА" w:anchor="_ПРОЕКТ_ДОГОВОРА" w:history="1">
        <w:r>
          <w:rPr>
            <w:rStyle w:val="1218"/>
            <w:rFonts w:ascii="Times New Roman" w:hAnsi="Times New Roman" w:cs="Times New Roman"/>
            <w:b w:val="0"/>
            <w:bCs w:val="0"/>
          </w:rPr>
          <w:t xml:space="preserve">IV «Проект договора».</w:t>
        </w:r>
      </w:hyperlink>
      <w:r>
        <w:rPr>
          <w:rFonts w:ascii="Times New Roman" w:hAnsi="Times New Roman" w:cs="Times New Roman"/>
          <w:b w:val="0"/>
          <w:bCs w:val="0"/>
          <w:color w:val="0000ff"/>
          <w:u w:val="single"/>
        </w:rPr>
      </w:r>
      <w:r>
        <w:rPr>
          <w:rFonts w:ascii="Times New Roman" w:hAnsi="Times New Roman" w:cs="Times New Roman"/>
          <w:b w:val="0"/>
          <w:bCs w:val="0"/>
          <w:color w:val="0000ff"/>
          <w:u w:val="single"/>
        </w:rPr>
      </w:r>
    </w:p>
    <w:p>
      <w:pPr>
        <w:pStyle w:val="1311"/>
        <w:numPr>
          <w:ilvl w:val="2"/>
          <w:numId w:val="1"/>
        </w:numPr>
        <w:ind w:left="0" w:firstLine="567"/>
        <w:jc w:val="both"/>
      </w:pPr>
      <w:r>
        <w:rPr>
          <w:bCs/>
          <w:color w:val="000000" w:themeColor="text1"/>
        </w:rPr>
        <w:t xml:space="preserve">В случае предоставления обеспечения исполнени</w:t>
      </w:r>
      <w:r>
        <w:rPr>
          <w:bCs/>
          <w:color w:val="000000" w:themeColor="text1"/>
        </w:rPr>
        <w:t xml:space="preserve">я договора в форме поручительства, договор дополняется соответствующим разделом по результатам преддоговорных переговоров между заказчиком и победителем закупки или с участником закупки, с которым Закупочной комиссией принято решение о заключении договора.</w:t>
      </w:r>
      <w:r/>
    </w:p>
    <w:p>
      <w:pPr>
        <w:pStyle w:val="1149"/>
        <w:numPr>
          <w:ilvl w:val="1"/>
          <w:numId w:val="1"/>
        </w:numPr>
        <w:ind w:left="0" w:firstLine="567"/>
        <w:jc w:val="both"/>
        <w:keepNext w:val="0"/>
        <w:spacing w:after="0"/>
        <w:rPr>
          <w:bCs w:val="0"/>
          <w:smallCaps/>
        </w:rPr>
      </w:pPr>
      <w:r/>
      <w:bookmarkStart w:id="355" w:name="_Toc40"/>
      <w:r/>
      <w:bookmarkStart w:id="166" w:name="_Требования_к_условиям"/>
      <w:r/>
      <w:bookmarkEnd w:id="166"/>
      <w:r>
        <w:rPr>
          <w:bCs w:val="0"/>
          <w:sz w:val="24"/>
          <w:szCs w:val="24"/>
        </w:rPr>
        <w:t xml:space="preserve">Требования к условиям независимой гарантии</w:t>
      </w:r>
      <w:r>
        <w:rPr>
          <w:bCs w:val="0"/>
          <w:sz w:val="24"/>
          <w:szCs w:val="24"/>
        </w:rPr>
        <w:t xml:space="preserve">, выданной в качестве обеспечения исполнения договора</w:t>
      </w:r>
      <w:r>
        <w:rPr>
          <w:bCs w:val="0"/>
          <w:sz w:val="24"/>
          <w:szCs w:val="24"/>
        </w:rPr>
        <w:t xml:space="preserve">:</w:t>
      </w:r>
      <w:r>
        <w:rPr>
          <w:bCs w:val="0"/>
          <w:smallCaps/>
        </w:rPr>
      </w:r>
      <w:bookmarkEnd w:id="355"/>
      <w:r>
        <w:rPr>
          <w:bCs w:val="0"/>
          <w:smallCaps/>
        </w:rPr>
      </w:r>
      <w:r>
        <w:rPr>
          <w:bCs w:val="0"/>
          <w:smallCaps/>
        </w:rPr>
      </w:r>
    </w:p>
    <w:p>
      <w:pPr>
        <w:numPr>
          <w:ilvl w:val="2"/>
          <w:numId w:val="1"/>
        </w:numPr>
        <w:ind w:left="0" w:firstLine="558"/>
        <w:spacing w:after="0"/>
        <w:tabs>
          <w:tab w:val="left" w:pos="567" w:leader="none"/>
          <w:tab w:val="left" w:pos="993" w:leader="none"/>
        </w:tabs>
        <w:rPr>
          <w:bCs/>
        </w:rPr>
        <w:outlineLvl w:val="2"/>
      </w:pPr>
      <w:r>
        <w:rPr>
          <w:bCs/>
        </w:rPr>
        <w:t xml:space="preserve">Требования к предъявляемые к гарантам указаны в части </w:t>
      </w:r>
      <w:hyperlink r:id="rId38" w:tooltip="Требования_к_гарантам#_" w:anchor="_" w:history="1">
        <w:r>
          <w:rPr>
            <w:rStyle w:val="1218"/>
            <w:bCs/>
            <w:lang w:val="en-US"/>
          </w:rPr>
          <w:t xml:space="preserve">VIII</w:t>
        </w:r>
        <w:r>
          <w:rPr>
            <w:rStyle w:val="1218"/>
            <w:bCs/>
          </w:rPr>
          <w:t xml:space="preserve"> «Требования к гарантам»</w:t>
        </w:r>
      </w:hyperlink>
      <w:r>
        <w:rPr>
          <w:bCs/>
        </w:rPr>
        <w:t xml:space="preserve">.</w:t>
      </w:r>
      <w:r>
        <w:rPr>
          <w:bCs/>
        </w:rPr>
      </w:r>
      <w:r>
        <w:rPr>
          <w:bCs/>
        </w:rPr>
      </w:r>
    </w:p>
    <w:p>
      <w:pPr>
        <w:numPr>
          <w:ilvl w:val="2"/>
          <w:numId w:val="1"/>
        </w:numPr>
        <w:ind w:left="0" w:firstLine="558"/>
        <w:spacing w:after="0"/>
        <w:tabs>
          <w:tab w:val="left" w:pos="567" w:leader="none"/>
          <w:tab w:val="left" w:pos="993" w:leader="none"/>
        </w:tabs>
        <w:rPr>
          <w:bCs/>
        </w:rPr>
        <w:outlineLvl w:val="2"/>
      </w:pPr>
      <w:r>
        <w:rPr>
          <w:bCs/>
        </w:rPr>
        <w:t xml:space="preserve">Условия независимой гарантии, Срок</w:t>
      </w:r>
      <w:r>
        <w:t xml:space="preserve"> предоставления независимой  гарантии, форма независимой гарантии, документы необходимые для согласования независимой гарантии Заказчиком, условия возврата независимой гарантии, иные требования, связанные с независимой гарантией, установлены в части </w:t>
      </w:r>
      <w:hyperlink w:tooltip="#_ПРОЕКТ_ДОГОВОРА" w:anchor="_ПРОЕКТ_ДОГОВОРА" w:history="1">
        <w:r>
          <w:rPr>
            <w:color w:val="0000ff"/>
            <w:u w:val="single"/>
          </w:rPr>
          <w:t xml:space="preserve">IV «Проект договора».</w:t>
        </w:r>
      </w:hyperlink>
      <w:r>
        <w:rPr>
          <w:bCs/>
        </w:rPr>
      </w:r>
      <w:r>
        <w:rPr>
          <w:bCs/>
        </w:rPr>
      </w:r>
    </w:p>
    <w:p>
      <w:pPr>
        <w:pStyle w:val="1311"/>
        <w:numPr>
          <w:ilvl w:val="2"/>
          <w:numId w:val="1"/>
        </w:numPr>
        <w:ind w:left="0" w:firstLine="558"/>
        <w:jc w:val="both"/>
        <w:rPr>
          <w:bCs/>
        </w:rPr>
      </w:pPr>
      <w:r>
        <w:rPr>
          <w:bCs/>
        </w:rPr>
        <w:t xml:space="preserve">Допускается предоставление независимых гарантий, выданных в письменной форме на бумажном носителе или в форме электронного документа, подписанного УКЭП.</w:t>
      </w:r>
      <w:r>
        <w:rPr>
          <w:bCs/>
        </w:rPr>
      </w:r>
      <w:r>
        <w:rPr>
          <w:bCs/>
        </w:rPr>
      </w:r>
    </w:p>
    <w:p>
      <w:pPr>
        <w:numPr>
          <w:ilvl w:val="2"/>
          <w:numId w:val="1"/>
        </w:numPr>
        <w:ind w:left="0" w:firstLine="558"/>
        <w:spacing w:after="0"/>
        <w:tabs>
          <w:tab w:val="left" w:pos="567" w:leader="none"/>
          <w:tab w:val="left" w:pos="993" w:leader="none"/>
        </w:tabs>
        <w:rPr>
          <w:bCs/>
        </w:rPr>
        <w:outlineLvl w:val="2"/>
      </w:pPr>
      <w:r>
        <w:rPr>
          <w:bCs/>
        </w:rPr>
        <w:t xml:space="preserve">Независимая гарантия, предоставленная поставщиком (подрядчиком, исполнителем) </w:t>
      </w:r>
      <w:r>
        <w:t xml:space="preserve">не может быть отозвана выдавшим ее гарантом.</w:t>
      </w:r>
      <w:r>
        <w:rPr>
          <w:bCs/>
        </w:rPr>
      </w:r>
      <w:r>
        <w:rPr>
          <w:bCs/>
        </w:rPr>
      </w:r>
    </w:p>
    <w:p>
      <w:pPr>
        <w:numPr>
          <w:ilvl w:val="2"/>
          <w:numId w:val="1"/>
        </w:numPr>
        <w:ind w:left="0" w:firstLine="558"/>
        <w:spacing w:after="0"/>
        <w:tabs>
          <w:tab w:val="clear" w:pos="454" w:leader="none"/>
          <w:tab w:val="num" w:pos="880" w:leader="none"/>
        </w:tabs>
        <w:outlineLvl w:val="2"/>
      </w:pPr>
      <w:r>
        <w:t xml:space="preserve">Несоответствие независимой гарантии, предоставленной участником закупки </w:t>
      </w:r>
      <w:r>
        <w:br/>
        <w:t xml:space="preserve">с требованиями, предусмотренными </w:t>
      </w:r>
      <w:hyperlink w:tooltip="#_Требования_к_условиям" w:anchor="_Требования_к_условиям" w:history="1">
        <w:r>
          <w:rPr>
            <w:rStyle w:val="1218"/>
          </w:rPr>
          <w:t xml:space="preserve">п.6.3</w:t>
        </w:r>
      </w:hyperlink>
      <w:r>
        <w:t xml:space="preserve"> извещения о закупке, является основанием для отказа </w:t>
      </w:r>
      <w:r>
        <w:br/>
        <w:t xml:space="preserve">в допуске принятии ее заказчиком. </w:t>
      </w:r>
      <w:r/>
    </w:p>
    <w:p>
      <w:pPr>
        <w:pStyle w:val="1149"/>
        <w:numPr>
          <w:ilvl w:val="1"/>
          <w:numId w:val="1"/>
        </w:numPr>
        <w:ind w:left="0" w:firstLine="567"/>
        <w:jc w:val="both"/>
        <w:keepNext w:val="0"/>
        <w:spacing w:after="0"/>
        <w:rPr>
          <w:bCs w:val="0"/>
          <w:sz w:val="24"/>
          <w:szCs w:val="24"/>
        </w:rPr>
      </w:pPr>
      <w:r/>
      <w:bookmarkStart w:id="356" w:name="_Toc41"/>
      <w:r>
        <w:rPr>
          <w:bCs w:val="0"/>
          <w:sz w:val="24"/>
          <w:szCs w:val="24"/>
        </w:rPr>
        <w:t xml:space="preserve">Отказ от заключения договора</w:t>
      </w:r>
      <w:r>
        <w:rPr>
          <w:bCs w:val="0"/>
          <w:sz w:val="24"/>
          <w:szCs w:val="24"/>
        </w:rPr>
      </w:r>
      <w:bookmarkEnd w:id="356"/>
      <w:r>
        <w:rPr>
          <w:bCs w:val="0"/>
          <w:sz w:val="24"/>
          <w:szCs w:val="24"/>
        </w:rPr>
      </w:r>
      <w:r>
        <w:rPr>
          <w:bCs w:val="0"/>
          <w:sz w:val="24"/>
          <w:szCs w:val="24"/>
        </w:rPr>
      </w:r>
    </w:p>
    <w:p>
      <w:pPr>
        <w:pStyle w:val="115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Заказчик отказывается от заключения договора с победителем (единственным участником закупки, с которым планируется заключить договора) в любой момент до заключения</w:t>
      </w:r>
      <w:r>
        <w:rPr>
          <w:rFonts w:ascii="Times New Roman" w:hAnsi="Times New Roman" w:cs="Times New Roman"/>
          <w:b w:val="0"/>
        </w:rPr>
        <w:t xml:space="preserve"> договора, если Заказчик или Закупочная комиссия обнаружит, что участник закупки не соответствует требованиям, установленным в документации о закупке или предоставил недостоверную информацию (сведения) в отношении своего соответствия указанным требованиям.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115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/>
      <w:bookmarkStart w:id="174" w:name="_Ref302129490"/>
      <w:r>
        <w:rPr>
          <w:rFonts w:ascii="Times New Roman" w:hAnsi="Times New Roman" w:cs="Times New Roman"/>
          <w:b w:val="0"/>
        </w:rPr>
        <w:t xml:space="preserve"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174"/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1334"/>
        <w:numPr>
          <w:ilvl w:val="0"/>
          <w:numId w:val="9"/>
        </w:numPr>
        <w:ind w:left="0" w:firstLine="567"/>
        <w:widowControl w:val="off"/>
        <w:tabs>
          <w:tab w:val="left" w:pos="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327"/>
        <w:numPr>
          <w:ilvl w:val="0"/>
          <w:numId w:val="9"/>
        </w:numPr>
        <w:ind w:left="0" w:firstLine="567"/>
        <w:jc w:val="both"/>
        <w:tabs>
          <w:tab w:val="left" w:pos="1418" w:leader="none"/>
        </w:tabs>
        <w:rPr>
          <w:smallCaps/>
          <w:color w:val="auto"/>
        </w:rPr>
      </w:pPr>
      <w:r>
        <w:t xml:space="preserve">не предоставления или предоставление с нарушением условий, установленных действу</w:t>
      </w:r>
      <w:r>
        <w:t xml:space="preserve">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  <w:r>
        <w:rPr>
          <w:smallCaps/>
          <w:color w:val="auto"/>
        </w:rPr>
      </w:r>
      <w:r>
        <w:rPr>
          <w:smallCaps/>
          <w:color w:val="auto"/>
        </w:rPr>
      </w:r>
    </w:p>
    <w:p>
      <w:pPr>
        <w:pStyle w:val="1327"/>
        <w:numPr>
          <w:ilvl w:val="0"/>
          <w:numId w:val="9"/>
        </w:numPr>
        <w:ind w:left="0" w:firstLine="567"/>
        <w:jc w:val="both"/>
        <w:tabs>
          <w:tab w:val="left" w:pos="1418" w:leader="none"/>
        </w:tabs>
        <w:rPr>
          <w:smallCaps/>
          <w:color w:val="auto"/>
        </w:rPr>
      </w:pPr>
      <w:r>
        <w:t xml:space="preserve">Не предоставления документа, подтверждающего решение об одобрении заключения крупной сделки либо сделки с заинтересованностью, в случае если победитель закупки</w:t>
      </w:r>
      <w:r>
        <w:t xml:space="preserve"> (единственный участник соответствующий требованиям документации о закупке) не задекларировал в своей заявке (данная декларация содержится в письме о подаче оферты) отсутствие необходимости одобрения сделки как крупной или как сделки с заинтересованностью.</w:t>
      </w:r>
      <w:r>
        <w:rPr>
          <w:smallCaps/>
          <w:color w:val="auto"/>
        </w:rPr>
      </w:r>
      <w:r>
        <w:rPr>
          <w:smallCaps/>
          <w:color w:val="auto"/>
        </w:rPr>
      </w:r>
    </w:p>
    <w:p>
      <w:pPr>
        <w:pStyle w:val="115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В случае если победитель закупки будет признан уклонившимся от заключения договора, договор бу</w:t>
      </w:r>
      <w:r>
        <w:rPr>
          <w:rFonts w:ascii="Times New Roman" w:hAnsi="Times New Roman" w:cs="Times New Roman"/>
          <w:b w:val="0"/>
        </w:rPr>
        <w:t xml:space="preserve">дет заключен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1149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357" w:name="_Toc42"/>
      <w:r>
        <w:rPr>
          <w:sz w:val="24"/>
          <w:szCs w:val="24"/>
        </w:rPr>
        <w:t xml:space="preserve">Изменение и расторжение договора</w:t>
      </w:r>
      <w:r>
        <w:rPr>
          <w:sz w:val="24"/>
          <w:szCs w:val="24"/>
        </w:rPr>
      </w:r>
      <w:bookmarkEnd w:id="357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5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Договор исполняется в соотв</w:t>
      </w:r>
      <w:r>
        <w:rPr>
          <w:rFonts w:ascii="Times New Roman" w:hAnsi="Times New Roman" w:cs="Times New Roman"/>
          <w:b w:val="0"/>
          <w:bCs w:val="0"/>
        </w:rPr>
        <w:t xml:space="preserve">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предусмотренном действующим законодательством и Положением о закупке Заказчика.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5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178" w:name="_Ref119429963"/>
      <w:r>
        <w:rPr>
          <w:rFonts w:ascii="Times New Roman" w:hAnsi="Times New Roman" w:cs="Times New Roman"/>
          <w:b w:val="0"/>
          <w:bCs w:val="0"/>
        </w:rPr>
        <w:t xml:space="preserve">При исполн</w:t>
      </w:r>
      <w:r>
        <w:rPr>
          <w:rFonts w:ascii="Times New Roman" w:hAnsi="Times New Roman" w:cs="Times New Roman"/>
          <w:b w:val="0"/>
          <w:bCs w:val="0"/>
        </w:rPr>
        <w:t xml:space="preserve">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</w:t>
      </w:r>
      <w:r>
        <w:rPr>
          <w:rFonts w:ascii="Times New Roman" w:hAnsi="Times New Roman" w:cs="Times New Roman"/>
          <w:b w:val="0"/>
          <w:bCs w:val="0"/>
        </w:rPr>
        <w:t xml:space="preserve">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5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При исполнении договоров на поставку </w:t>
      </w:r>
      <w:r>
        <w:rPr>
          <w:rFonts w:ascii="Times New Roman" w:hAnsi="Times New Roman" w:cs="Times New Roman"/>
          <w:b w:val="0"/>
          <w:bCs w:val="0"/>
        </w:rPr>
        <w:t xml:space="preserve">товаров (выполнение работ, оказание услуг) заключенных с субъектами МСП, поставщик (исполнитель, подрядчик), при условии исполнения обязательств по договору вправе переуступить право требования (факторинг) в пользу иного лица (финансового агента, фактора).</w:t>
      </w:r>
      <w:bookmarkEnd w:id="178"/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5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  <w:highlight w:val="green"/>
        </w:rPr>
      </w:pPr>
      <w:r>
        <w:rPr>
          <w:rFonts w:ascii="Times New Roman" w:hAnsi="Times New Roman" w:cs="Times New Roman"/>
          <w:b w:val="0"/>
          <w:bCs w:val="0"/>
          <w:highlight w:val="green"/>
        </w:rPr>
        <w:t xml:space="preserve">Если в соответствии с требованиями </w:t>
      </w:r>
      <w:hyperlink r:id="rId39" w:tooltip="https://www.consultant.ru/document/cons_doc_LAW_494318/92d969e26a4326c5d02fa79b8f9cf4994ee5633b/" w:history="1">
        <w:r>
          <w:rPr>
            <w:rStyle w:val="1218"/>
            <w:rFonts w:ascii="Times New Roman" w:hAnsi="Times New Roman" w:cs="Times New Roman"/>
            <w:b w:val="0"/>
            <w:highlight w:val="green"/>
          </w:rPr>
          <w:t xml:space="preserve">постановления Правительства РФ от 23.12.2024 № 1875</w:t>
        </w:r>
      </w:hyperlink>
      <w:r>
        <w:rPr>
          <w:rFonts w:ascii="Times New Roman" w:hAnsi="Times New Roman" w:cs="Times New Roman"/>
          <w:b w:val="0"/>
          <w:bCs w:val="0"/>
          <w:highlight w:val="green"/>
        </w:rPr>
        <w:t xml:space="preserve"> в </w:t>
      </w:r>
      <w:hyperlink w:tooltip="#_Сведения_о_предоставлении" w:anchor="_Сведения_о_предоставлении" w:history="1">
        <w:r>
          <w:rPr>
            <w:rStyle w:val="1218"/>
            <w:rFonts w:ascii="Times New Roman" w:hAnsi="Times New Roman" w:cs="Times New Roman"/>
            <w:b w:val="0"/>
            <w:bCs w:val="0"/>
            <w:highlight w:val="green"/>
          </w:rPr>
          <w:t xml:space="preserve">пункте 12 части II «ИНФОРМАЦИОННОЙ КАРТЫ ЗАКУПКИ»</w:t>
        </w:r>
      </w:hyperlink>
      <w:r>
        <w:rPr>
          <w:rFonts w:ascii="Times New Roman" w:hAnsi="Times New Roman" w:cs="Times New Roman"/>
          <w:b w:val="0"/>
          <w:bCs w:val="0"/>
          <w:highlight w:val="green"/>
        </w:rPr>
        <w:t xml:space="preserve"> установлен запрет закупки работ, услуг, соответственно выполняемых, оказываемых иностранным лицом, то не допускается перемена подрядчика (</w:t>
      </w:r>
      <w:r>
        <w:rPr>
          <w:rFonts w:ascii="Times New Roman" w:hAnsi="Times New Roman" w:cs="Times New Roman"/>
          <w:b w:val="0"/>
          <w:bCs w:val="0"/>
          <w:highlight w:val="green"/>
        </w:rPr>
        <w:t xml:space="preserve">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установлен данный запрет.</w:t>
      </w:r>
      <w:r>
        <w:rPr>
          <w:rFonts w:ascii="Times New Roman" w:hAnsi="Times New Roman" w:cs="Times New Roman"/>
          <w:b w:val="0"/>
          <w:bCs w:val="0"/>
          <w:highlight w:val="green"/>
        </w:rPr>
      </w:r>
      <w:r>
        <w:rPr>
          <w:rFonts w:ascii="Times New Roman" w:hAnsi="Times New Roman" w:cs="Times New Roman"/>
          <w:b w:val="0"/>
          <w:bCs w:val="0"/>
          <w:highlight w:val="green"/>
        </w:rPr>
      </w:r>
    </w:p>
    <w:p>
      <w:pPr>
        <w:pStyle w:val="115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  <w:highlight w:val="green"/>
        </w:rPr>
      </w:pPr>
      <w:r>
        <w:rPr>
          <w:rFonts w:ascii="Times New Roman" w:hAnsi="Times New Roman" w:cs="Times New Roman"/>
          <w:b w:val="0"/>
          <w:bCs w:val="0"/>
          <w:highlight w:val="green"/>
        </w:rPr>
        <w:t xml:space="preserve">Если в соответствии с требованиями </w:t>
      </w:r>
      <w:hyperlink r:id="rId40" w:tooltip="https://www.consultant.ru/document/cons_doc_LAW_494318/92d969e26a4326c5d02fa79b8f9cf4994ee5633b/" w:history="1">
        <w:r>
          <w:rPr>
            <w:rStyle w:val="1218"/>
            <w:rFonts w:ascii="Times New Roman" w:hAnsi="Times New Roman" w:cs="Times New Roman"/>
            <w:b w:val="0"/>
            <w:highlight w:val="green"/>
          </w:rPr>
          <w:t xml:space="preserve">постановления Правительства РФ от 23.12.2024 № 1875</w:t>
        </w:r>
      </w:hyperlink>
      <w:r>
        <w:rPr>
          <w:rFonts w:ascii="Times New Roman" w:hAnsi="Times New Roman" w:cs="Times New Roman"/>
          <w:b w:val="0"/>
          <w:bCs w:val="0"/>
          <w:highlight w:val="green"/>
        </w:rPr>
        <w:t xml:space="preserve"> в </w:t>
      </w:r>
      <w:hyperlink w:tooltip="#_Сведения_о_предоставлении" w:anchor="_Сведения_о_предоставлении" w:history="1">
        <w:r>
          <w:rPr>
            <w:rStyle w:val="1218"/>
            <w:rFonts w:ascii="Times New Roman" w:hAnsi="Times New Roman" w:cs="Times New Roman"/>
            <w:b w:val="0"/>
            <w:bCs w:val="0"/>
            <w:highlight w:val="green"/>
          </w:rPr>
          <w:t xml:space="preserve">пункте 12 части II «ИНФОРМАЦИОННОЙ КАРТЫ ЗАКУПКИ»</w:t>
        </w:r>
      </w:hyperlink>
      <w:r>
        <w:rPr>
          <w:rFonts w:ascii="Times New Roman" w:hAnsi="Times New Roman" w:cs="Times New Roman"/>
          <w:b w:val="0"/>
          <w:bCs w:val="0"/>
          <w:highlight w:val="green"/>
        </w:rPr>
        <w:t xml:space="preserve"> установлено ограничение закупки работ, услуг, соответственно выполняемых, оказываемых иностранным лицом, то не допускается перемена подрядчика (исполнителя) (в случае, если эта перем</w:t>
      </w:r>
      <w:r>
        <w:rPr>
          <w:rFonts w:ascii="Times New Roman" w:hAnsi="Times New Roman" w:cs="Times New Roman"/>
          <w:b w:val="0"/>
          <w:bCs w:val="0"/>
          <w:highlight w:val="green"/>
        </w:rPr>
        <w:t xml:space="preserve">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  <w:r>
        <w:rPr>
          <w:rFonts w:ascii="Times New Roman" w:hAnsi="Times New Roman" w:cs="Times New Roman"/>
          <w:b w:val="0"/>
          <w:bCs w:val="0"/>
          <w:highlight w:val="green"/>
        </w:rPr>
      </w:r>
      <w:r>
        <w:rPr>
          <w:rFonts w:ascii="Times New Roman" w:hAnsi="Times New Roman" w:cs="Times New Roman"/>
          <w:b w:val="0"/>
          <w:bCs w:val="0"/>
          <w:highlight w:val="green"/>
        </w:rPr>
      </w:r>
    </w:p>
    <w:p>
      <w:pPr>
        <w:pStyle w:val="115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Расторжение договора, в том числе односторонний отказ от договора допускается по основаниям и в порядке, предусмотренном действующим законодательством и договором.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49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358" w:name="_Toc43"/>
      <w:r>
        <w:rPr>
          <w:sz w:val="24"/>
          <w:szCs w:val="24"/>
        </w:rPr>
        <w:t xml:space="preserve">Закупка продукции с разбиением заказа на лоты</w:t>
      </w:r>
      <w:r>
        <w:rPr>
          <w:sz w:val="24"/>
          <w:szCs w:val="24"/>
        </w:rPr>
      </w:r>
      <w:bookmarkEnd w:id="358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5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Заку</w:t>
      </w:r>
      <w:r>
        <w:rPr>
          <w:rFonts w:ascii="Times New Roman" w:hAnsi="Times New Roman" w:cs="Times New Roman"/>
          <w:b w:val="0"/>
        </w:rPr>
        <w:t xml:space="preserve">пки может подать Заявку на любой лот (закупку), любые несколько лотов или все лоты по собственному выбору. Разбиение на лоты установлено в </w:t>
      </w:r>
      <w:hyperlink w:tooltip="#_Предмет_договора_с" w:anchor="_Предмет_договора_с" w:history="1">
        <w:r>
          <w:rPr>
            <w:rStyle w:val="1218"/>
            <w:rFonts w:ascii="Times New Roman" w:hAnsi="Times New Roman" w:cs="Times New Roman"/>
            <w:b w:val="0"/>
          </w:rPr>
          <w:t xml:space="preserve">пункте 3 </w:t>
        </w:r>
        <w:r>
          <w:rPr>
            <w:rStyle w:val="1218"/>
            <w:rFonts w:ascii="Times New Roman" w:hAnsi="Times New Roman" w:cs="Times New Roman"/>
            <w:b w:val="0"/>
          </w:rPr>
          <w:t xml:space="preserve">части</w:t>
        </w:r>
        <w:r>
          <w:rPr>
            <w:rStyle w:val="1218"/>
            <w:rFonts w:ascii="Times New Roman" w:hAnsi="Times New Roman" w:cs="Times New Roman"/>
            <w:b w:val="0"/>
          </w:rPr>
          <w:t xml:space="preserve"> II «ИНФОРМАЦИОННАЯ КАРТА ЗАКУПКИ»</w:t>
        </w:r>
      </w:hyperlink>
      <w:r>
        <w:rPr>
          <w:rFonts w:ascii="Times New Roman" w:hAnsi="Times New Roman" w:cs="Times New Roman"/>
          <w:b w:val="0"/>
        </w:rPr>
        <w:t xml:space="preserve"> и </w:t>
      </w:r>
      <w:r>
        <w:rPr>
          <w:rFonts w:ascii="Times New Roman" w:hAnsi="Times New Roman" w:cs="Times New Roman"/>
          <w:b w:val="0"/>
        </w:rPr>
        <w:t xml:space="preserve">части</w:t>
      </w:r>
      <w:r>
        <w:rPr>
          <w:rFonts w:ascii="Times New Roman" w:hAnsi="Times New Roman" w:cs="Times New Roman"/>
          <w:b w:val="0"/>
        </w:rPr>
        <w:t xml:space="preserve"> </w:t>
      </w:r>
      <w:hyperlink w:tooltip="#_ТЕХНИЧЕСКАЯ_ЧАСТЬ" w:anchor="_ТЕХНИЧЕСКАЯ_ЧАСТЬ" w:history="1">
        <w:r>
          <w:rPr>
            <w:rStyle w:val="1218"/>
            <w:rFonts w:ascii="Times New Roman" w:hAnsi="Times New Roman" w:cs="Times New Roman"/>
            <w:b w:val="0"/>
            <w:lang w:val="en-US"/>
          </w:rPr>
          <w:t xml:space="preserve">IV</w:t>
        </w:r>
        <w:r>
          <w:rPr>
            <w:rStyle w:val="1218"/>
            <w:rFonts w:ascii="Times New Roman" w:hAnsi="Times New Roman" w:cs="Times New Roman"/>
            <w:b w:val="0"/>
          </w:rPr>
          <w:t xml:space="preserve"> «Техническое задание»</w:t>
        </w:r>
      </w:hyperlink>
      <w:r>
        <w:rPr>
          <w:rFonts w:ascii="Times New Roman" w:hAnsi="Times New Roman" w:cs="Times New Roman"/>
          <w:b w:val="0"/>
        </w:rPr>
        <w:t xml:space="preserve">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115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В случае подачи Заявки на несколько лотов, Участник должен отдельно по каждому лоту включить в состав заявки документы и сведения, указанные в </w:t>
      </w:r>
      <w:hyperlink w:tooltip="#_Сведения_и_документы," w:anchor="_Сведения_и_документы," w:history="1">
        <w:r>
          <w:rPr>
            <w:rStyle w:val="1218"/>
            <w:rFonts w:ascii="Times New Roman" w:hAnsi="Times New Roman" w:cs="Times New Roman"/>
            <w:b w:val="0"/>
          </w:rPr>
          <w:t xml:space="preserve">пункте 17 </w:t>
        </w:r>
        <w:r>
          <w:rPr>
            <w:rStyle w:val="1218"/>
            <w:rFonts w:ascii="Times New Roman" w:hAnsi="Times New Roman" w:cs="Times New Roman"/>
            <w:b w:val="0"/>
          </w:rPr>
          <w:t xml:space="preserve">части</w:t>
        </w:r>
        <w:r>
          <w:rPr>
            <w:rStyle w:val="1218"/>
            <w:rFonts w:ascii="Times New Roman" w:hAnsi="Times New Roman" w:cs="Times New Roman"/>
            <w:b w:val="0"/>
          </w:rPr>
          <w:t xml:space="preserve"> II «ИНФОРМАЦИОННАЯ КАРТА ЗАКУПКИ»</w:t>
        </w:r>
      </w:hyperlink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1150"/>
        <w:numPr>
          <w:ilvl w:val="2"/>
          <w:numId w:val="1"/>
        </w:numPr>
        <w:ind w:left="0" w:firstLine="567"/>
        <w:keepNext w:val="0"/>
        <w:spacing w:before="0" w:after="0"/>
      </w:pPr>
      <w:r>
        <w:rPr>
          <w:rFonts w:ascii="Times New Roman" w:hAnsi="Times New Roman" w:cs="Times New Roman"/>
          <w:b w:val="0"/>
        </w:rPr>
        <w:t xml:space="preserve">Рассмотрение </w:t>
      </w:r>
      <w:r>
        <w:rPr>
          <w:rFonts w:ascii="Times New Roman" w:hAnsi="Times New Roman" w:cs="Times New Roman"/>
          <w:b w:val="0"/>
        </w:rPr>
        <w:t xml:space="preserve">общих</w:t>
      </w:r>
      <w:r>
        <w:rPr>
          <w:rFonts w:ascii="Times New Roman" w:hAnsi="Times New Roman" w:cs="Times New Roman"/>
          <w:b w:val="0"/>
        </w:rPr>
        <w:t xml:space="preserve"> частей </w:t>
      </w:r>
      <w:r>
        <w:rPr>
          <w:rFonts w:ascii="Times New Roman" w:hAnsi="Times New Roman" w:cs="Times New Roman"/>
          <w:b w:val="0"/>
        </w:rPr>
        <w:t xml:space="preserve">заявок и ценовых предложений, определение Победителя закупки и подписание Договора будет осуществляться раздельно и независимо по каждому из лотов. По каждому из лотов будет определен Победитель закупки с каждым из которых будет заключен отдельный Договор.</w:t>
      </w:r>
      <w:r>
        <w:br w:type="page" w:clear="all"/>
      </w:r>
      <w:r/>
    </w:p>
    <w:p>
      <w:pPr>
        <w:pStyle w:val="1148"/>
        <w:numPr>
          <w:ilvl w:val="0"/>
          <w:numId w:val="4"/>
        </w:numPr>
        <w:ind w:left="0" w:firstLine="567"/>
        <w:spacing w:before="0" w:after="0"/>
        <w:rPr>
          <w:rStyle w:val="1169"/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  <w:r/>
      <w:bookmarkStart w:id="359" w:name="_Toc44"/>
      <w:r/>
      <w:bookmarkStart w:id="193" w:name="_РАЗДЕЛ_I_3_ИНФОРМАЦИОННАЯ_КАРТА_КОН"/>
      <w:r/>
      <w:bookmarkStart w:id="194" w:name="_ИНФОРМАЦИОННАЯ_КАРТА_ЗАКУПКИ"/>
      <w:r/>
      <w:bookmarkStart w:id="195" w:name="_Ref119427269"/>
      <w:r/>
      <w:bookmarkEnd w:id="193"/>
      <w:r/>
      <w:bookmarkEnd w:id="194"/>
      <w:r>
        <w:rPr>
          <w:rStyle w:val="1169"/>
          <w:rFonts w:ascii="Times New Roman" w:hAnsi="Times New Roman" w:cs="Times New Roman"/>
          <w:color w:val="auto"/>
          <w:sz w:val="24"/>
          <w:szCs w:val="24"/>
        </w:rPr>
        <w:t xml:space="preserve">ИНФОРМАЦИОННАЯ КАРТА </w:t>
      </w:r>
      <w:bookmarkEnd w:id="195"/>
      <w:r>
        <w:rPr>
          <w:rStyle w:val="1169"/>
          <w:rFonts w:ascii="Times New Roman" w:hAnsi="Times New Roman" w:cs="Times New Roman"/>
          <w:color w:val="auto"/>
          <w:sz w:val="24"/>
          <w:szCs w:val="24"/>
        </w:rPr>
        <w:t xml:space="preserve">ЗАКУПКИ</w:t>
      </w:r>
      <w:r>
        <w:rPr>
          <w:rStyle w:val="1169"/>
          <w:rFonts w:ascii="Times New Roman" w:hAnsi="Times New Roman" w:cs="Times New Roman"/>
          <w:b w:val="0"/>
          <w:bCs w:val="0"/>
          <w:color w:val="auto"/>
          <w:sz w:val="24"/>
          <w:szCs w:val="24"/>
        </w:rPr>
      </w:r>
      <w:bookmarkEnd w:id="359"/>
      <w:r>
        <w:rPr>
          <w:rStyle w:val="1169"/>
          <w:rFonts w:ascii="Times New Roman" w:hAnsi="Times New Roman" w:cs="Times New Roman"/>
          <w:b w:val="0"/>
          <w:bCs w:val="0"/>
          <w:color w:val="auto"/>
          <w:sz w:val="24"/>
          <w:szCs w:val="24"/>
        </w:rPr>
      </w:r>
      <w:r>
        <w:rPr>
          <w:rStyle w:val="1169"/>
          <w:rFonts w:ascii="Times New Roman" w:hAnsi="Times New Roman" w:cs="Times New Roman"/>
          <w:b w:val="0"/>
          <w:bCs w:val="0"/>
          <w:color w:val="auto"/>
          <w:sz w:val="24"/>
          <w:szCs w:val="24"/>
        </w:rPr>
      </w:r>
    </w:p>
    <w:p>
      <w:r/>
      <w:r/>
    </w:p>
    <w:p>
      <w:pPr>
        <w:ind w:firstLine="567"/>
      </w:pPr>
      <w:r>
        <w:t xml:space="preserve">В части II «ИНФОРМАЦИОННАЯ КАРТА </w:t>
      </w:r>
      <w:r>
        <w:t xml:space="preserve">ЗАКУПКИ</w:t>
      </w:r>
      <w:r>
        <w:t xml:space="preserve">» содержится информация </w:t>
      </w:r>
      <w:r>
        <w:t xml:space="preserve">для данно</w:t>
      </w:r>
      <w:r>
        <w:t xml:space="preserve">й</w:t>
      </w:r>
      <w:r>
        <w:t xml:space="preserve"> конкретно</w:t>
      </w:r>
      <w:r>
        <w:t xml:space="preserve">й</w:t>
      </w:r>
      <w:r>
        <w:t xml:space="preserve"> </w:t>
      </w:r>
      <w:r>
        <w:t xml:space="preserve">закупки</w:t>
      </w:r>
      <w:r>
        <w:t xml:space="preserve">, которая уточняет, разъясняет и дополняет</w:t>
      </w:r>
      <w:r>
        <w:t xml:space="preserve"> положения части </w:t>
      </w:r>
      <w:hyperlink w:tooltip="#_ОБЩИЕ_ПОЛОЖЕНИЯ" w:anchor="_ОБЩИЕ_ПОЛОЖЕНИЯ" w:history="1">
        <w:r>
          <w:rPr>
            <w:rStyle w:val="1218"/>
          </w:rPr>
          <w:t xml:space="preserve">«ОБЩИЕ УСЛОВИЯ ПРОВЕДЕНИЯ ЗАКУПКИ»</w:t>
        </w:r>
      </w:hyperlink>
      <w:r>
        <w:t xml:space="preserve">. </w:t>
      </w:r>
      <w:r/>
    </w:p>
    <w:p>
      <w:pPr>
        <w:ind w:firstLine="567"/>
        <w:tabs>
          <w:tab w:val="left" w:pos="567" w:leader="none"/>
        </w:tabs>
      </w:pPr>
      <w:r>
        <w:t xml:space="preserve">При возникновении противоречия между положениями </w:t>
      </w:r>
      <w:hyperlink w:tooltip="#_ОБЩИЕ_УСЛОВИЯ_ПРОВЕДЕНИЯ" w:anchor="_ОБЩИЕ_УСЛОВИЯ_ПРОВЕДЕНИЯ" w:history="1">
        <w:r>
          <w:rPr>
            <w:rStyle w:val="1218"/>
          </w:rPr>
          <w:t xml:space="preserve">части </w:t>
        </w:r>
        <w:r>
          <w:rPr>
            <w:rStyle w:val="1218"/>
            <w:lang w:val="en-US"/>
          </w:rPr>
          <w:t xml:space="preserve">I</w:t>
        </w:r>
        <w:r>
          <w:rPr>
            <w:rStyle w:val="1218"/>
          </w:rPr>
          <w:t xml:space="preserve"> «ОБЩИЕ УСЛОВИЯ ПРОВЕДЕНИЯ ЗАКУПКИ»</w:t>
        </w:r>
      </w:hyperlink>
      <w:r>
        <w:t xml:space="preserve"> и части </w:t>
      </w:r>
      <w:hyperlink w:tooltip="#_ИНФОРМАЦИОННАЯ_КАРТА_ЗАКУПКИ" w:anchor="_ИНФОРМАЦИОННАЯ_КАРТА_ЗАКУПКИ" w:history="1">
        <w:r>
          <w:rPr>
            <w:rStyle w:val="1218"/>
          </w:rPr>
          <w:t xml:space="preserve">II «ИНФОРМАЦИОННАЯ КАРТА ЗАКУПКИ»</w:t>
        </w:r>
      </w:hyperlink>
      <w:r>
        <w:t xml:space="preserve">, применяются положения Части II.</w:t>
      </w:r>
      <w:r/>
    </w:p>
    <w:tbl>
      <w:tblPr>
        <w:tblW w:w="1020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3544"/>
        <w:gridCol w:w="6095"/>
      </w:tblGrid>
      <w:tr>
        <w:tblPrEx/>
        <w:trPr/>
        <w:tc>
          <w:tcPr>
            <w:shd w:val="clear" w:color="auto" w:fill="f2f2f2" w:themeFill="background1" w:themeFillShade="F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№ п/п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f2f2f2" w:themeFill="background1" w:themeFillShade="F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3544" w:type="dxa"/>
            <w:vAlign w:val="center"/>
            <w:textDirection w:val="lrTb"/>
            <w:noWrap w:val="false"/>
          </w:tcPr>
          <w:p>
            <w:pPr>
              <w:ind w:hanging="13"/>
              <w:jc w:val="center"/>
              <w:spacing w:after="0" w:line="240" w:lineRule="auto"/>
              <w:tabs>
                <w:tab w:val="num" w:pos="630" w:leader="none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Наименование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f2f2f2" w:themeFill="background1" w:themeFillShade="F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609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Информация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567" w:type="dxa"/>
            <w:textDirection w:val="lrTb"/>
            <w:noWrap w:val="false"/>
          </w:tcPr>
          <w:p>
            <w:pPr>
              <w:pStyle w:val="1311"/>
              <w:numPr>
                <w:ilvl w:val="0"/>
                <w:numId w:val="28"/>
              </w:numPr>
              <w:contextualSpacing/>
              <w:ind w:hanging="828"/>
              <w:jc w:val="both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3544" w:type="dxa"/>
            <w:textDirection w:val="lrTb"/>
            <w:noWrap w:val="false"/>
          </w:tcPr>
          <w:p>
            <w:pPr>
              <w:ind w:hanging="13"/>
              <w:spacing w:line="240" w:lineRule="auto"/>
              <w:tabs>
                <w:tab w:val="num" w:pos="205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Способ закупки, номер позиции Плана закупки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6095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Start w:id="198" w:name="Par50"/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Конкурс в электронной форме.</w:t>
            </w:r>
            <w:bookmarkEnd w:id="198"/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Номер позиции Плана закупки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ПАО «Россети Северо-Запад» на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2025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131.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567" w:type="dxa"/>
            <w:textDirection w:val="lrTb"/>
            <w:noWrap w:val="false"/>
          </w:tcPr>
          <w:p>
            <w:pPr>
              <w:pStyle w:val="1311"/>
              <w:numPr>
                <w:ilvl w:val="0"/>
                <w:numId w:val="28"/>
              </w:numPr>
              <w:contextualSpacing/>
              <w:ind w:hanging="828"/>
              <w:jc w:val="both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3544" w:type="dxa"/>
            <w:textDirection w:val="lrTb"/>
            <w:noWrap w:val="false"/>
          </w:tcPr>
          <w:p>
            <w:pPr>
              <w:pStyle w:val="1150"/>
              <w:ind w:left="0" w:hanging="13"/>
              <w:keepNext w:val="0"/>
              <w:spacing w:before="0" w:after="0" w:line="240" w:lineRule="auto"/>
              <w:tabs>
                <w:tab w:val="clear" w:pos="312" w:leader="none"/>
                <w:tab w:val="num" w:pos="630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Start w:id="199" w:name="_Наименование,_место_нахождения,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End w:id="199"/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 xml:space="preserve">Наименование, место нахождения, почтовый адрес, адрес электронной почты, номер контактного телефона Заказчика и стороннего Организатора закупки (в случае его привлечения), ответственный за заключение договора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6095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Наименование Заказчика: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ПАО «Россети Северо-Запад»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Адрес местонахождения Заказчика: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196247, Россия, г. Санкт-Петербург, пл. Конституции д.3, литер А, пом. 16Н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Почтовый адрес Заказчика: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196247, Россия, г. Санкт-Петербург, площадь Конституции д.3, литер А, помещение 16Н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Контактное лицо: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hyperlink r:id="rId41" w:tooltip="https://phonebook.rosseti-sz.ru/pls/telephone/phone_mrsk.main?parID=-22867&amp;parATSID=3563&amp;parFocusedEmpID=-82161" w:history="1">
              <w:r>
                <w:rPr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Гильберг</w:t>
              </w:r>
              <w:r>
                <w:rPr>
                  <w:rFonts w:ascii="Times New Roman" w:hAnsi="Times New Roman" w:eastAsia="Times New Roman" w:cs="Times New Roman"/>
                  <w:sz w:val="24"/>
                  <w:szCs w:val="24"/>
                </w:rPr>
                <w:t xml:space="preserve"> Наталья Олеговна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Тел. (812) 305-10-10 доб. 347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 xml:space="preserve">e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 xml:space="preserve">mail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: </w:t>
            </w:r>
            <w:hyperlink r:id="rId42" w:tooltip="mailto:gilbergno@rosseti-sz.ru" w:history="1">
              <w:r>
                <w:rPr>
                  <w:rStyle w:val="1218"/>
                  <w:rFonts w:ascii="Times New Roman" w:hAnsi="Times New Roman" w:eastAsia="Times New Roman" w:cs="Times New Roman"/>
                  <w:color w:val="0000ee"/>
                  <w:sz w:val="24"/>
                  <w:szCs w:val="24"/>
                  <w:highlight w:val="white"/>
                  <w:u w:val="single"/>
                </w:rPr>
                <w:t xml:space="preserve">gilbergno@rosseti-sz.ru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Start w:id="200" w:name="Par51"/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Ответственный за заключение договора: </w:t>
            </w:r>
            <w:bookmarkEnd w:id="200"/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Томасова Юлия Александровна</w:t>
            </w:r>
            <w:r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Тел: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(812) 305-1010 доб 465</w:t>
            </w:r>
            <w:r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e-mail:</w:t>
            </w:r>
            <w:r>
              <w:rPr>
                <w:rStyle w:val="1218"/>
                <w:rFonts w:ascii="Times New Roman" w:hAnsi="Times New Roman" w:eastAsia="Times New Roman" w:cs="Times New Roman"/>
                <w:color w:val="0000ee"/>
                <w:sz w:val="24"/>
                <w:szCs w:val="24"/>
                <w:highlight w:val="white"/>
                <w:u w:val="none"/>
              </w:rPr>
              <w:t xml:space="preserve"> </w:t>
            </w:r>
            <w:r>
              <w:rPr>
                <w:rStyle w:val="1218"/>
                <w:rFonts w:ascii="Times New Roman" w:hAnsi="Times New Roman" w:eastAsia="Times New Roman" w:cs="Times New Roman"/>
                <w:color w:val="0000ee"/>
                <w:sz w:val="24"/>
                <w:szCs w:val="24"/>
                <w:highlight w:val="white"/>
                <w:u w:val="single"/>
              </w:rPr>
              <w:t xml:space="preserve">tomasovaja@rosseti-sz.ru</w:t>
            </w:r>
            <w:r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567" w:type="dxa"/>
            <w:textDirection w:val="lrTb"/>
            <w:noWrap w:val="false"/>
          </w:tcPr>
          <w:p>
            <w:pPr>
              <w:pStyle w:val="1311"/>
              <w:numPr>
                <w:ilvl w:val="0"/>
                <w:numId w:val="28"/>
              </w:numPr>
              <w:contextualSpacing/>
              <w:ind w:hanging="828"/>
              <w:jc w:val="both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3544" w:type="dxa"/>
            <w:textDirection w:val="lrTb"/>
            <w:noWrap w:val="false"/>
          </w:tcPr>
          <w:p>
            <w:pPr>
              <w:pStyle w:val="1150"/>
              <w:ind w:left="0" w:hanging="13"/>
              <w:keepNext w:val="0"/>
              <w:spacing w:before="0" w:after="0" w:line="240" w:lineRule="auto"/>
              <w:tabs>
                <w:tab w:val="clear" w:pos="312" w:leader="none"/>
                <w:tab w:val="num" w:pos="630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Start w:id="201" w:name="_Предмет_договора_с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End w:id="201"/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 xml:space="preserve">Предмет договора с указанием количества поставляемого товара/ объема выполняемой работы/ объема оказываемой услуги, а также краткое описание предмета закупки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6095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Предмет договора: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25К7110010.0006/1. Оказание услуг по организации стратегических сессий, конференций, семинаров, рабочих совещаний и аналогичных мероприятий для нужд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ПАО «Россети Северо-Запад».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  <w:p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Количество поставляемого товара/объем выполняемой работы/объем оказываемой услуги и описание предмета закупки в соответствии с </w:t>
            </w:r>
            <w:hyperlink r:id="rId43" w:tooltip="https://www.consultant.ru/document/cons_doc_LAW_116964/fddec0f5c16a67f6fca41f9e31dfb0dcc72cc49a/#dst199" w:anchor="dst199" w:history="1">
              <w:r>
                <w:rPr>
                  <w:rFonts w:ascii="Times New Roman" w:hAnsi="Times New Roman" w:eastAsia="Times New Roman" w:cs="Times New Roman"/>
                  <w:color w:val="0000ff"/>
                  <w:sz w:val="24"/>
                  <w:szCs w:val="24"/>
                  <w:u w:val="single"/>
                </w:rPr>
                <w:t xml:space="preserve">частью 6.1 статьи 3 </w:t>
              </w:r>
              <w:r>
                <w:rPr>
                  <w:rFonts w:ascii="Times New Roman" w:hAnsi="Times New Roman" w:eastAsia="Times New Roman" w:cs="Times New Roman"/>
                  <w:color w:val="0000ff"/>
                  <w:sz w:val="24"/>
                  <w:szCs w:val="24"/>
                  <w:u w:val="single"/>
                </w:rPr>
                <w:t xml:space="preserve">Закона 223-ФЗ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установлено в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части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hyperlink w:tooltip="#_ТЕХНИЧЕСКАЯ_ЧАСТЬ" w:anchor="_ТЕХНИЧЕСКАЯ_ЧАСТЬ" w:history="1">
              <w:r>
                <w:rPr>
                  <w:rFonts w:ascii="Times New Roman" w:hAnsi="Times New Roman" w:eastAsia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 xml:space="preserve">V</w:t>
              </w:r>
              <w:r>
                <w:rPr>
                  <w:rFonts w:ascii="Times New Roman" w:hAnsi="Times New Roman" w:eastAsia="Times New Roman" w:cs="Times New Roman"/>
                  <w:color w:val="0000ff"/>
                  <w:sz w:val="24"/>
                  <w:szCs w:val="24"/>
                  <w:u w:val="single"/>
                </w:rPr>
                <w:t xml:space="preserve"> «Техническая часть»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извещения о закупке. Все указания в настоящем извещении о закупке на товарные знаки, знаки обслуживания, фирменные наименования, патенты, полезные модели, промышленные образцы, наименование страны происхождения товара читать со словами «или эквивалент».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567" w:type="dxa"/>
            <w:textDirection w:val="lrTb"/>
            <w:noWrap w:val="false"/>
          </w:tcPr>
          <w:p>
            <w:pPr>
              <w:pStyle w:val="1311"/>
              <w:numPr>
                <w:ilvl w:val="0"/>
                <w:numId w:val="28"/>
              </w:numPr>
              <w:contextualSpacing/>
              <w:ind w:hanging="828"/>
              <w:jc w:val="both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3544" w:type="dxa"/>
            <w:textDirection w:val="lrTb"/>
            <w:noWrap w:val="false"/>
          </w:tcPr>
          <w:p>
            <w:pPr>
              <w:pStyle w:val="1150"/>
              <w:ind w:left="0" w:hanging="13"/>
              <w:keepNext w:val="0"/>
              <w:spacing w:before="0" w:after="0" w:line="240" w:lineRule="auto"/>
              <w:tabs>
                <w:tab w:val="clear" w:pos="312" w:leader="none"/>
                <w:tab w:val="num" w:pos="630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Start w:id="202" w:name="_Место_поставки_товара/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End w:id="202"/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 xml:space="preserve">Место поставки товара/ выполнения работы/ оказания услуги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6095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 соответствии с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частью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hyperlink w:tooltip="#_ФОРМА_15._Справка" w:anchor="_ФОРМА_15._Справка" w:history="1">
              <w:r>
                <w:rPr>
                  <w:rStyle w:val="1218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IV «Проект договора»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части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hyperlink w:tooltip="#_ТЕХНИЧЕСКАЯ_ЧАСТЬ" w:anchor="_ТЕХНИЧЕСКАЯ_ЧАСТЬ" w:history="1">
              <w:r>
                <w:rPr>
                  <w:rStyle w:val="1218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V «Техническая часть»</w:t>
              </w:r>
            </w:hyperlink>
            <w:r>
              <w:rPr>
                <w:rStyle w:val="1218"/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настоящей документации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о закупке.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567" w:type="dxa"/>
            <w:textDirection w:val="lrTb"/>
            <w:noWrap w:val="false"/>
          </w:tcPr>
          <w:p>
            <w:pPr>
              <w:pStyle w:val="1311"/>
              <w:numPr>
                <w:ilvl w:val="0"/>
                <w:numId w:val="28"/>
              </w:numPr>
              <w:contextualSpacing/>
              <w:ind w:hanging="828"/>
              <w:jc w:val="both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3544" w:type="dxa"/>
            <w:textDirection w:val="lrTb"/>
            <w:noWrap w:val="false"/>
          </w:tcPr>
          <w:p>
            <w:pPr>
              <w:pStyle w:val="1150"/>
              <w:ind w:left="0" w:hanging="13"/>
              <w:keepNext w:val="0"/>
              <w:spacing w:before="0" w:after="0" w:line="240" w:lineRule="auto"/>
              <w:tabs>
                <w:tab w:val="clear" w:pos="312" w:leader="none"/>
                <w:tab w:val="num" w:pos="630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Start w:id="203" w:name="_Сроки_поставки_товара/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End w:id="203"/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 xml:space="preserve">Сроки поставки товара/ выполнения работ/оказания услуг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6095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 соответствии с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частью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hyperlink w:tooltip="#_ФОРМА_15._Справка" w:anchor="_ФОРМА_15._Справка" w:history="1">
              <w:r>
                <w:rPr>
                  <w:rStyle w:val="1218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IV «Проект договора»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частью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hyperlink w:tooltip="#_ТЕХНИЧЕСКАЯ_ЧАСТЬ" w:anchor="_ТЕХНИЧЕСКАЯ_ЧАСТЬ" w:history="1">
              <w:r>
                <w:rPr>
                  <w:rStyle w:val="1218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V «Техническая часть»</w:t>
              </w:r>
            </w:hyperlink>
            <w:r>
              <w:rPr>
                <w:rStyle w:val="1218"/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настоящей документации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о закупке.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567" w:type="dxa"/>
            <w:textDirection w:val="lrTb"/>
            <w:noWrap w:val="false"/>
          </w:tcPr>
          <w:p>
            <w:pPr>
              <w:pStyle w:val="1311"/>
              <w:numPr>
                <w:ilvl w:val="0"/>
                <w:numId w:val="28"/>
              </w:numPr>
              <w:contextualSpacing/>
              <w:ind w:hanging="828"/>
              <w:jc w:val="both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3544" w:type="dxa"/>
            <w:textDirection w:val="lrTb"/>
            <w:noWrap w:val="false"/>
          </w:tcPr>
          <w:p>
            <w:pPr>
              <w:pStyle w:val="1150"/>
              <w:ind w:left="0" w:hanging="13"/>
              <w:keepNext w:val="0"/>
              <w:spacing w:before="0" w:after="0" w:line="240" w:lineRule="auto"/>
              <w:tabs>
                <w:tab w:val="clear" w:pos="312" w:leader="none"/>
                <w:tab w:val="num" w:pos="630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Start w:id="204" w:name="_Форма,_сроки_и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End w:id="204"/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 xml:space="preserve">Форма, сроки и порядок оплаты товара, работы, услуги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6095" w:type="dxa"/>
            <w:textDirection w:val="lrTb"/>
            <w:noWrap w:val="false"/>
          </w:tcPr>
          <w:p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 соответствии с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частью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hyperlink w:tooltip="#_ФОРМА_15._Справка" w:anchor="_ФОРМА_15._Справка" w:history="1">
              <w:r>
                <w:rPr>
                  <w:rStyle w:val="1218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IV «Проект договора»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настоящей документации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о закупке.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highlight w:val="green"/>
              </w:rPr>
              <w:t xml:space="preserve">*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green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/>
                <w:color w:val="ff0000"/>
                <w:sz w:val="24"/>
                <w:szCs w:val="24"/>
                <w:highlight w:val="green"/>
              </w:rPr>
              <w:t xml:space="preserve">Обращаем внимание цена, указанная в заявке должна включать в себя НДС по ставке 20%, независимо от того какую систему налогообложения применяет участник заку</w:t>
            </w:r>
            <w:r>
              <w:rPr>
                <w:rFonts w:ascii="Times New Roman" w:hAnsi="Times New Roman" w:eastAsia="Times New Roman" w:cs="Times New Roman"/>
                <w:i/>
                <w:color w:val="ff0000"/>
                <w:sz w:val="24"/>
                <w:szCs w:val="24"/>
                <w:highlight w:val="green"/>
              </w:rPr>
              <w:t xml:space="preserve">пки. Так как в проекте договора предусмотрено обязательно включение в цену договора НДС в размере 20%. Данный пункт договора не подлежит изменению не зависимо от системы налогообложения участника, т.е. от цены предложенной участником будет выделен НДС. При</w:t>
            </w:r>
            <w:r>
              <w:rPr>
                <w:rFonts w:ascii="Times New Roman" w:hAnsi="Times New Roman" w:eastAsia="Times New Roman" w:cs="Times New Roman"/>
                <w:i/>
                <w:color w:val="ff0000"/>
                <w:sz w:val="24"/>
                <w:szCs w:val="24"/>
                <w:highlight w:val="green"/>
              </w:rPr>
              <w:t xml:space="preserve"> этом проект договора предусматривает возможность Поставщика/Исполнителя/Подрядчика отказаться от выставления счета-фактуры с выделением НДС, тогда сумма к уплате по договору будет рассчитана от цены договора/единицы продукции за вычетом НДС в размере 20%.</w:t>
            </w:r>
            <w:r>
              <w:rPr>
                <w:rFonts w:ascii="Times New Roman" w:hAnsi="Times New Roman" w:cs="Times New Roman"/>
                <w:i/>
                <w:color w:val="ff0000"/>
                <w:sz w:val="24"/>
                <w:szCs w:val="24"/>
                <w:highlight w:val="green"/>
              </w:rPr>
            </w:r>
            <w:r>
              <w:rPr>
                <w:rFonts w:ascii="Times New Roman" w:hAnsi="Times New Roman" w:cs="Times New Roman"/>
                <w:i/>
                <w:color w:val="ff0000"/>
                <w:sz w:val="24"/>
                <w:szCs w:val="24"/>
                <w:highlight w:val="green"/>
              </w:rPr>
            </w:r>
          </w:p>
          <w:p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color w:val="ff0000"/>
                <w:sz w:val="24"/>
                <w:szCs w:val="24"/>
                <w:highlight w:val="green"/>
              </w:rPr>
              <w:t xml:space="preserve">Освобождение от исполнения обязанностей налогоплательщика НДС в установленном законом порядке или применение упрощенной системы налогообложения не отменяет право выставления счета фактуры с выделенным НДС согласно пункту 5 статьи 173 НК РФ.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567" w:type="dxa"/>
            <w:textDirection w:val="lrTb"/>
            <w:noWrap w:val="false"/>
          </w:tcPr>
          <w:p>
            <w:pPr>
              <w:pStyle w:val="1311"/>
              <w:numPr>
                <w:ilvl w:val="0"/>
                <w:numId w:val="28"/>
              </w:numPr>
              <w:contextualSpacing/>
              <w:ind w:hanging="828"/>
              <w:jc w:val="both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3544" w:type="dxa"/>
            <w:textDirection w:val="lrTb"/>
            <w:noWrap w:val="false"/>
          </w:tcPr>
          <w:p>
            <w:pPr>
              <w:pStyle w:val="1150"/>
              <w:ind w:left="0" w:hanging="13"/>
              <w:keepNext w:val="0"/>
              <w:spacing w:before="0" w:after="0" w:line="240" w:lineRule="auto"/>
              <w:tabs>
                <w:tab w:val="clear" w:pos="312" w:leader="none"/>
                <w:tab w:val="num" w:pos="630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Start w:id="205" w:name="_Сведения_о_начальной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End w:id="205"/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 xml:space="preserve">Сведения о начальной (максимальной) цене договора (цене лота), либо формула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 xml:space="preserve">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6095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708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боснование начальной (максимальной) цены договора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(цены лота)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приведено в части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hyperlink w:tooltip="#_ОБОСНОВАНИЕ_НАЧАЛЬНОЙ_(МАКСИМАЛЬНОЙ" w:anchor="_ОБОСНОВАНИЕ_НАЧАЛЬНОЙ_(МАКСИМАЛЬНОЙ" w:history="1">
              <w:r>
                <w:rPr>
                  <w:rFonts w:ascii="Times New Roman" w:hAnsi="Times New Roman" w:eastAsia="Times New Roman" w:cs="Times New Roman"/>
                  <w:color w:val="0000ff"/>
                  <w:sz w:val="24"/>
                  <w:szCs w:val="24"/>
                  <w:u w:val="single"/>
                </w:rPr>
                <w:t xml:space="preserve">VI «Обоснование начальной (максимальной» цены договора»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настоящей документации о закупке.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tabs>
                <w:tab w:val="left" w:pos="708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Начальная (максимальная) цена договора (цена лота) составляет: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21 000 000,00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руб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before="60"/>
              <w:tabs>
                <w:tab w:val="left" w:pos="708" w:leader="none"/>
              </w:tabs>
              <w:rPr>
                <w:b/>
                <w:bCs/>
                <w:u w:val="single"/>
              </w:rPr>
            </w:pPr>
            <w:r>
              <w:rPr>
                <w:b/>
                <w:sz w:val="24"/>
                <w:szCs w:val="24"/>
                <w:u w:val="single"/>
              </w:rPr>
              <w:t xml:space="preserve">Начальная (максимальная) цена договора является максимальным значением цены договора.</w:t>
            </w:r>
            <w:r>
              <w:rPr>
                <w:b/>
                <w:bCs/>
                <w:sz w:val="24"/>
                <w:szCs w:val="24"/>
                <w:u w:val="single"/>
              </w:rPr>
            </w:r>
            <w:r>
              <w:rPr>
                <w:b/>
                <w:bCs/>
                <w:u w:val="single"/>
              </w:rPr>
            </w:r>
          </w:p>
          <w:p>
            <w:pPr>
              <w:spacing w:before="60"/>
              <w:tabs>
                <w:tab w:val="left" w:pos="708" w:leader="none"/>
              </w:tabs>
              <w:rPr>
                <w:b/>
                <w:bCs/>
                <w:color w:val="ff0000"/>
                <w:u w:val="single"/>
              </w:rPr>
            </w:pPr>
            <w:r>
              <w:rPr>
                <w:b/>
                <w:bCs/>
                <w:color w:val="ff0000"/>
                <w:sz w:val="24"/>
                <w:szCs w:val="24"/>
                <w:u w:val="single"/>
              </w:rPr>
            </w:r>
            <w:r>
              <w:rPr>
                <w:b/>
                <w:bCs/>
                <w:color w:val="ff0000"/>
                <w:sz w:val="24"/>
                <w:szCs w:val="24"/>
                <w:u w:val="single"/>
              </w:rPr>
            </w:r>
            <w:r>
              <w:rPr>
                <w:b/>
                <w:bCs/>
                <w:color w:val="ff0000"/>
                <w:u w:val="single"/>
              </w:rPr>
            </w:r>
          </w:p>
          <w:p>
            <w:pPr>
              <w:spacing w:before="60"/>
              <w:tabs>
                <w:tab w:val="left" w:pos="708" w:leader="none"/>
              </w:tabs>
              <w:rPr>
                <w:b/>
                <w:bCs/>
                <w:color w:val="ff0000"/>
                <w:u w:val="single"/>
              </w:rPr>
            </w:pPr>
            <w:r>
              <w:rPr>
                <w:b/>
                <w:bCs/>
                <w:color w:val="ff0000"/>
                <w:sz w:val="24"/>
                <w:szCs w:val="24"/>
                <w:u w:val="single"/>
              </w:rPr>
              <w:t xml:space="preserve">При </w:t>
            </w:r>
            <w:r>
              <w:rPr>
                <w:b/>
                <w:color w:val="ff0000"/>
                <w:sz w:val="24"/>
                <w:szCs w:val="24"/>
                <w:u w:val="single"/>
              </w:rPr>
              <w:t xml:space="preserve">подаче заявок предложение о цене договора должно соответствовать начальной (максимальной) цене договора. Заявки оцениваются исходя из размера а</w:t>
            </w:r>
            <w:r>
              <w:rPr>
                <w:b/>
                <w:color w:val="ff0000"/>
                <w:sz w:val="24"/>
                <w:szCs w:val="24"/>
                <w:u w:val="single"/>
              </w:rPr>
              <w:t xml:space="preserve">гентского</w:t>
            </w:r>
            <w:r>
              <w:rPr>
                <w:b/>
                <w:color w:val="ff0000"/>
                <w:sz w:val="24"/>
                <w:szCs w:val="24"/>
                <w:u w:val="single"/>
              </w:rPr>
              <w:t xml:space="preserve"> вознаграждени</w:t>
            </w:r>
            <w:r>
              <w:rPr>
                <w:b/>
                <w:color w:val="ff0000"/>
                <w:sz w:val="24"/>
                <w:szCs w:val="24"/>
                <w:u w:val="single"/>
              </w:rPr>
              <w:t xml:space="preserve">я (</w:t>
            </w:r>
            <w:r>
              <w:rPr>
                <w:b/>
                <w:color w:val="ff0000"/>
                <w:sz w:val="24"/>
                <w:szCs w:val="24"/>
                <w:u w:val="single"/>
              </w:rPr>
              <w:t xml:space="preserve">% от стоимости оказанных услуг</w:t>
            </w:r>
            <w:r>
              <w:rPr>
                <w:b/>
                <w:color w:val="ff0000"/>
                <w:sz w:val="24"/>
                <w:szCs w:val="24"/>
                <w:u w:val="single"/>
              </w:rPr>
              <w:t xml:space="preserve">)</w:t>
            </w:r>
            <w:r>
              <w:rPr>
                <w:b/>
                <w:color w:val="ff0000"/>
                <w:sz w:val="24"/>
                <w:szCs w:val="24"/>
                <w:u w:val="single"/>
              </w:rPr>
              <w:t xml:space="preserve"> в соответствии с приложением 1 части II «Информационная карта закупки» документации о закупке.</w:t>
            </w:r>
            <w:r>
              <w:rPr>
                <w:b/>
                <w:bCs/>
                <w:color w:val="ff0000"/>
                <w:sz w:val="24"/>
                <w:szCs w:val="24"/>
                <w:u w:val="single"/>
                <w:lang w:eastAsia="ar-SA"/>
              </w:rPr>
            </w:r>
            <w:r>
              <w:rPr>
                <w:b/>
                <w:bCs/>
                <w:color w:val="ff0000"/>
                <w:u w:val="single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deeaf6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shd w:val="clear" w:color="auto" w:fill="deeaf6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deeaf6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deeaf6"/>
              </w:rPr>
            </w:r>
          </w:p>
          <w:p>
            <w:pPr>
              <w:spacing w:after="0" w:line="240" w:lineRule="auto"/>
              <w:tabs>
                <w:tab w:val="left" w:pos="708" w:leader="none"/>
              </w:tabs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Начальная (максимальная) цена договора включает в себя: все затраты, накладные расходы, налоги, пошлины, таможенные платежи, с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трахование и прочие сборы, которые поставщик (подрядчик, исполнитель) договора должен оплачивать в соответствии с условиями договора или на иных основ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аниях. Все расходы должны быть включены в расценки и общую цену заявки, представленной участником закупки.</w:t>
            </w:r>
            <w:r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567" w:type="dxa"/>
            <w:textDirection w:val="lrTb"/>
            <w:noWrap w:val="false"/>
          </w:tcPr>
          <w:p>
            <w:pPr>
              <w:pStyle w:val="1311"/>
              <w:numPr>
                <w:ilvl w:val="0"/>
                <w:numId w:val="28"/>
              </w:numPr>
              <w:contextualSpacing/>
              <w:ind w:hanging="828"/>
              <w:jc w:val="both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3544" w:type="dxa"/>
            <w:textDirection w:val="lrTb"/>
            <w:noWrap w:val="false"/>
          </w:tcPr>
          <w:p>
            <w:pPr>
              <w:pStyle w:val="1150"/>
              <w:ind w:left="0" w:hanging="13"/>
              <w:keepNext w:val="0"/>
              <w:spacing w:before="0" w:after="0" w:line="240" w:lineRule="auto"/>
              <w:tabs>
                <w:tab w:val="clear" w:pos="312" w:leader="none"/>
                <w:tab w:val="num" w:pos="630" w:leader="none"/>
              </w:tabs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 xml:space="preserve">Срок, место и порядок предоста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 xml:space="preserve">вления документации о закупке, размер, порядок и сроки внесения платы, взимаемой Заказчиком за предоставление документации, если такая плата установлена Заказчиком, за исключением случаев предоставления документации о закупке в форме электронного документа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6095" w:type="dxa"/>
            <w:textDirection w:val="lrTb"/>
            <w:noWrap w:val="false"/>
          </w:tcPr>
          <w:p>
            <w:pPr>
              <w:pStyle w:val="1150"/>
              <w:ind w:left="0"/>
              <w:keepNext w:val="0"/>
              <w:spacing w:before="0" w:after="0" w:line="240" w:lineRule="auto"/>
              <w:tabs>
                <w:tab w:val="clear" w:pos="312" w:leader="none"/>
                <w:tab w:val="left" w:pos="708" w:leader="none"/>
              </w:tabs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lang w:eastAsia="en-US"/>
              </w:rPr>
      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</w:t>
            </w:r>
            <w:hyperlink r:id="rId44" w:tooltip="https://zakupki.gov.ru/epz/main/public/home.html" w:history="1">
              <w:r>
                <w:rPr>
                  <w:rStyle w:val="1218"/>
                  <w:rFonts w:ascii="Times New Roman" w:hAnsi="Times New Roman" w:eastAsia="Times New Roman" w:cs="Times New Roman"/>
                  <w:b w:val="0"/>
                  <w:bCs w:val="0"/>
                  <w:sz w:val="24"/>
                  <w:szCs w:val="24"/>
                  <w:lang w:eastAsia="en-US"/>
                </w:rPr>
                <w:t xml:space="preserve">www.zakupki.gov.ru</w:t>
              </w:r>
            </w:hyperlink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lang w:eastAsia="en-US"/>
              </w:rPr>
              <w:t xml:space="preserve">, а также на сайте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lang w:eastAsia="en-US"/>
              </w:rPr>
              <w:t xml:space="preserve">ЭТП, указанно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lang w:eastAsia="en-US"/>
              </w:rPr>
              <w:t xml:space="preserve">м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lang w:eastAsia="en-US"/>
              </w:rPr>
              <w:t xml:space="preserve"> в </w:t>
            </w:r>
            <w:hyperlink w:tooltip="#_Адрес_электронной_площадки" w:anchor="_Адрес_электронной_площадки" w:history="1">
              <w:r>
                <w:rPr>
                  <w:rStyle w:val="1218"/>
                  <w:rFonts w:ascii="Times New Roman" w:hAnsi="Times New Roman" w:eastAsia="Times New Roman" w:cs="Times New Roman"/>
                  <w:b w:val="0"/>
                  <w:bCs w:val="0"/>
                  <w:sz w:val="24"/>
                  <w:szCs w:val="24"/>
                  <w:lang w:eastAsia="en-US"/>
                </w:rPr>
                <w:t xml:space="preserve">п. 10 настоящей информационной карты</w:t>
              </w:r>
            </w:hyperlink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lang w:eastAsia="en-US"/>
              </w:rPr>
              <w:t xml:space="preserve">. Срок начала предоставления документации о закупке с момента публикации извещения.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567" w:type="dxa"/>
            <w:textDirection w:val="lrTb"/>
            <w:noWrap w:val="false"/>
          </w:tcPr>
          <w:p>
            <w:pPr>
              <w:pStyle w:val="1311"/>
              <w:numPr>
                <w:ilvl w:val="0"/>
                <w:numId w:val="28"/>
              </w:numPr>
              <w:contextualSpacing/>
              <w:ind w:hanging="828"/>
              <w:jc w:val="both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3544" w:type="dxa"/>
            <w:textDirection w:val="lrTb"/>
            <w:noWrap w:val="false"/>
          </w:tcPr>
          <w:p>
            <w:pPr>
              <w:pStyle w:val="1150"/>
              <w:ind w:left="0" w:hanging="13"/>
              <w:keepNext w:val="0"/>
              <w:spacing w:before="0" w:after="0" w:line="240" w:lineRule="auto"/>
              <w:tabs>
                <w:tab w:val="clear" w:pos="312" w:leader="none"/>
                <w:tab w:val="num" w:pos="630" w:leader="none"/>
              </w:tabs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Start w:id="206" w:name="_Порядок,_дата_начала,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End w:id="206"/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 xml:space="preserve"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закупки).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  <w:p>
            <w:pPr>
              <w:pStyle w:val="1150"/>
              <w:ind w:left="0" w:hanging="13"/>
              <w:keepNext w:val="0"/>
              <w:spacing w:before="0" w:after="0" w:line="240" w:lineRule="auto"/>
              <w:tabs>
                <w:tab w:val="clear" w:pos="312" w:leader="none"/>
                <w:tab w:val="num" w:pos="630" w:leader="none"/>
              </w:tabs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Start w:id="207" w:name="_Дата_рассмотрения_предложений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End w:id="207"/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 xml:space="preserve">Дата рассмотрения предложений участников такой закупки и подведения итогов такой закупки, Дата и время окончания срока предоставления участникам закупки разъяснений положений документации о закупке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6095" w:type="dxa"/>
            <w:textDirection w:val="lrTb"/>
            <w:noWrap w:val="false"/>
          </w:tcPr>
          <w:p>
            <w:pPr>
              <w:pStyle w:val="1311"/>
              <w:ind w:left="0"/>
              <w:jc w:val="both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Применяются следующие этапы: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311"/>
              <w:numPr>
                <w:ilvl w:val="0"/>
                <w:numId w:val="29"/>
              </w:numPr>
              <w:ind w:left="0" w:firstLine="0"/>
              <w:jc w:val="both"/>
              <w:spacing w:line="240" w:lineRule="auto"/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ассм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отрение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общих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частей заяв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r>
          </w:p>
          <w:p>
            <w:pPr>
              <w:pStyle w:val="1311"/>
              <w:numPr>
                <w:ilvl w:val="0"/>
                <w:numId w:val="29"/>
              </w:numPr>
              <w:ind w:left="0" w:firstLine="0"/>
              <w:jc w:val="both"/>
              <w:spacing w:line="240" w:lineRule="auto"/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Переторжка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r>
          </w:p>
          <w:p>
            <w:pPr>
              <w:pStyle w:val="1311"/>
              <w:numPr>
                <w:ilvl w:val="0"/>
                <w:numId w:val="29"/>
              </w:numPr>
              <w:ind w:left="0" w:firstLine="0"/>
              <w:jc w:val="both"/>
              <w:spacing w:line="240" w:lineRule="auto"/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одведение итогов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r>
          </w:p>
          <w:p>
            <w:pPr>
              <w:pStyle w:val="1327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left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</w:rPr>
              <w:t xml:space="preserve">Заявка подается в электронной форме с использованием функционала и в соответствии с Регламентом работы ЭТП.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  <w:p>
            <w:pPr>
              <w:jc w:val="both"/>
              <w:spacing w:after="0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eastAsia="en-US"/>
              </w:rPr>
              <w:t xml:space="preserve">Дата начала срока подачи заявок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: «28» марта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2025 года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  <w:p>
            <w:pPr>
              <w:jc w:val="both"/>
              <w:spacing w:after="0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eastAsia="en-US"/>
              </w:rPr>
              <w:t xml:space="preserve">Дата и время окончания срока предоставления участникам закупки разъяснений положений документации о закупке:</w:t>
            </w:r>
            <w:r>
              <w:rPr>
                <w:b/>
                <w:color w:val="000000"/>
                <w:sz w:val="24"/>
                <w:szCs w:val="24"/>
              </w:rPr>
            </w: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jc w:val="both"/>
              <w:spacing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«14» апреля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202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5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 года 13:59 (время московское)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  <w:p>
            <w:pPr>
              <w:jc w:val="both"/>
              <w:spacing w:after="0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eastAsia="en-US"/>
              </w:rPr>
              <w:t xml:space="preserve">Дата и время окончания срока, последний день срока подачи Заявок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: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  <w:p>
            <w:pPr>
              <w:jc w:val="both"/>
              <w:spacing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«14» апреля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202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5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 года 14:00 (время московское)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  <w:p>
            <w:pPr>
              <w:jc w:val="both"/>
              <w:spacing w:after="0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eastAsia="en-US"/>
              </w:rPr>
              <w:t xml:space="preserve">Рассмотрение общих частей заявок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: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  <w:p>
            <w:pPr>
              <w:jc w:val="both"/>
              <w:spacing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Дата нач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ала проведения этапа: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с момента направления оператором ЭТП заказчику общих частей заявок;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  <w:p>
            <w:pPr>
              <w:jc w:val="both"/>
              <w:spacing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Дата проведения этапа: «17» апреля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202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5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 года.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Переторжка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 (по решению закупочной комиссии):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r>
          </w:p>
          <w:p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Дата начала проведения этапа: с момента публикации в ЕИС протокола рассмотрения общих частей заявок.</w:t>
            </w:r>
            <w:r>
              <w:rPr>
                <w:color w:val="000000"/>
                <w:lang w:eastAsia="en-US"/>
              </w:rPr>
            </w:r>
            <w:r>
              <w:rPr>
                <w:color w:val="000000"/>
                <w:lang w:eastAsia="en-US"/>
              </w:rPr>
            </w:r>
          </w:p>
          <w:p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Срок проведения переторжки: не менее 24 (двадцати четырех) часов.</w:t>
            </w:r>
            <w:r>
              <w:rPr>
                <w:color w:val="000000"/>
                <w:lang w:eastAsia="en-US"/>
              </w:rPr>
            </w:r>
            <w:r>
              <w:rPr>
                <w:color w:val="000000"/>
                <w:lang w:eastAsia="en-US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highlight w:val="cyan"/>
              </w:rPr>
            </w:pPr>
            <w:r>
              <w:rPr>
                <w:b/>
              </w:rPr>
              <w:t xml:space="preserve">Шаг переторжки</w:t>
            </w:r>
            <w:r>
              <w:t xml:space="preserve">:</w:t>
            </w:r>
            <w:r>
              <w:t xml:space="preserve"> </w:t>
            </w:r>
            <w:r>
              <w:t xml:space="preserve">0.1 </w:t>
            </w:r>
            <w:r>
              <w:t xml:space="preserve">усл.</w:t>
            </w:r>
            <w:r>
              <w:t xml:space="preserve"> ед.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cyan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cyan"/>
              </w:rPr>
            </w:r>
          </w:p>
          <w:p>
            <w:pPr>
              <w:jc w:val="both"/>
              <w:spacing w:after="0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eastAsia="en-US"/>
              </w:rPr>
              <w:t xml:space="preserve">Подведение итогов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: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  <w:p>
            <w:pPr>
              <w:pStyle w:val="1327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  <w:lang w:eastAsia="ru-RU"/>
              </w:rPr>
              <w:t xml:space="preserve">Дата проведения этапа: «21» апреля </w:t>
            </w:r>
            <w:r>
              <w:rPr>
                <w:color w:val="auto"/>
                <w:sz w:val="24"/>
                <w:szCs w:val="24"/>
                <w:lang w:eastAsia="ru-RU"/>
              </w:rPr>
              <w:t xml:space="preserve">202</w:t>
            </w:r>
            <w:r>
              <w:rPr>
                <w:color w:val="auto"/>
                <w:sz w:val="24"/>
                <w:szCs w:val="24"/>
                <w:lang w:eastAsia="ru-RU"/>
              </w:rPr>
              <w:t xml:space="preserve">5</w:t>
            </w:r>
            <w:r>
              <w:rPr>
                <w:color w:val="auto"/>
                <w:sz w:val="24"/>
                <w:szCs w:val="24"/>
                <w:lang w:eastAsia="ru-RU"/>
              </w:rPr>
              <w:t xml:space="preserve"> года.</w:t>
            </w:r>
            <w:r/>
            <w:r>
              <w:rPr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567" w:type="dxa"/>
            <w:textDirection w:val="lrTb"/>
            <w:noWrap w:val="false"/>
          </w:tcPr>
          <w:p>
            <w:pPr>
              <w:pStyle w:val="1311"/>
              <w:numPr>
                <w:ilvl w:val="0"/>
                <w:numId w:val="28"/>
              </w:numPr>
              <w:contextualSpacing/>
              <w:ind w:hanging="828"/>
              <w:jc w:val="both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3544" w:type="dxa"/>
            <w:textDirection w:val="lrTb"/>
            <w:noWrap w:val="false"/>
          </w:tcPr>
          <w:p>
            <w:pPr>
              <w:pStyle w:val="1150"/>
              <w:ind w:left="0" w:hanging="13"/>
              <w:keepNext w:val="0"/>
              <w:spacing w:before="0" w:after="0" w:line="240" w:lineRule="auto"/>
              <w:tabs>
                <w:tab w:val="clear" w:pos="312" w:leader="none"/>
                <w:tab w:val="num" w:pos="630" w:leader="none"/>
              </w:tabs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Start w:id="208" w:name="_Адрес_электронной_площадки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End w:id="208"/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 xml:space="preserve">Адрес электронной площадки в информационно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 xml:space="preserve">телекоммуникационной сети «Интернет»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6095" w:type="dxa"/>
            <w:textDirection w:val="lrTb"/>
            <w:noWrap w:val="false"/>
          </w:tcPr>
          <w:p>
            <w:pPr>
              <w:pStyle w:val="1147"/>
              <w:jc w:val="both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Сайт электронной торговой площадки: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47"/>
              <w:jc w:val="both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1356"/>
                <w:rFonts w:ascii="Times New Roman" w:hAnsi="Times New Roman" w:eastAsia="Times New Roman" w:cs="Times New Roman"/>
                <w:sz w:val="24"/>
                <w:szCs w:val="24"/>
              </w:rPr>
              <w:fldChar w:fldCharType="begin"/>
            </w:r>
            <w:r>
              <w:rPr>
                <w:rStyle w:val="1356"/>
                <w:rFonts w:ascii="Times New Roman" w:hAnsi="Times New Roman" w:eastAsia="Times New Roman" w:cs="Times New Roman"/>
                <w:sz w:val="24"/>
                <w:szCs w:val="24"/>
              </w:rPr>
              <w:instrText xml:space="preserve"> HYPERLINK "https://tender.lot-online.ru" </w:instrText>
            </w:r>
            <w:r>
              <w:rPr>
                <w:rStyle w:val="1356"/>
                <w:rFonts w:ascii="Times New Roman" w:hAnsi="Times New Roman" w:eastAsia="Times New Roman" w:cs="Times New Roman"/>
                <w:sz w:val="24"/>
                <w:szCs w:val="24"/>
              </w:rPr>
              <w:fldChar w:fldCharType="separate"/>
            </w:r>
            <w:r>
              <w:rPr>
                <w:rStyle w:val="1356"/>
                <w:rFonts w:ascii="Times New Roman" w:hAnsi="Times New Roman" w:eastAsia="Times New Roman" w:cs="Times New Roman"/>
                <w:sz w:val="24"/>
                <w:szCs w:val="24"/>
              </w:rPr>
              <w:t xml:space="preserve">https://tender.lot-online.ru</w:t>
            </w:r>
            <w:r>
              <w:rPr>
                <w:rStyle w:val="1356"/>
                <w:rFonts w:ascii="Times New Roman" w:hAnsi="Times New Roman" w:eastAsia="Times New Roman" w:cs="Times New Roman"/>
                <w:sz w:val="24"/>
                <w:szCs w:val="24"/>
              </w:rPr>
              <w:fldChar w:fldCharType="end"/>
            </w:r>
            <w:r>
              <w:rPr>
                <w:rStyle w:val="1356"/>
                <w:rFonts w:ascii="Times New Roman" w:hAnsi="Times New Roman" w:eastAsia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567" w:type="dxa"/>
            <w:textDirection w:val="lrTb"/>
            <w:noWrap w:val="false"/>
          </w:tcPr>
          <w:p>
            <w:pPr>
              <w:pStyle w:val="1311"/>
              <w:numPr>
                <w:ilvl w:val="0"/>
                <w:numId w:val="28"/>
              </w:numPr>
              <w:contextualSpacing/>
              <w:ind w:hanging="828"/>
              <w:jc w:val="both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3544" w:type="dxa"/>
            <w:textDirection w:val="lrTb"/>
            <w:noWrap w:val="false"/>
          </w:tcPr>
          <w:p>
            <w:pPr>
              <w:pStyle w:val="1150"/>
              <w:ind w:left="0" w:hanging="13"/>
              <w:keepNext w:val="0"/>
              <w:spacing w:before="0" w:after="0" w:line="240" w:lineRule="auto"/>
              <w:tabs>
                <w:tab w:val="clear" w:pos="312" w:leader="none"/>
                <w:tab w:val="num" w:pos="630" w:leader="none"/>
              </w:tabs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Start w:id="209" w:name="_Размер_обеспечения_заявок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End w:id="209"/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 xml:space="preserve">Размер обеспечения заявок на участие в закупке, порядок, срок и случаи возврата такого обеспечения и иные требования к такому обеспечению, в том числе условия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 xml:space="preserve">независимой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 xml:space="preserve"> гарантии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6095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cyan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cyan"/>
                <w:lang w:eastAsia="en-US"/>
              </w:rPr>
              <w:t xml:space="preserve">Сумма обеспечения заявки предусмотрена в размере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cyan"/>
                <w:lang w:eastAsia="en-US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cyan"/>
                <w:lang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cyan"/>
                <w:lang w:eastAsia="en-US"/>
              </w:rPr>
              <w:t xml:space="preserve">% от начальной (максимальной) цены договора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cyan"/>
                <w:lang w:eastAsia="en-US"/>
              </w:rPr>
              <w:t xml:space="preserve">в случае предоставления обеспечения в форме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cyan"/>
                <w:lang w:eastAsia="en-US"/>
              </w:rPr>
              <w:t xml:space="preserve">независимой гарантии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cyan"/>
                <w:lang w:eastAsia="en-US"/>
              </w:rPr>
              <w:t xml:space="preserve">, что составляет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cyan"/>
                <w:lang w:eastAsia="en-US"/>
              </w:rPr>
              <w:t xml:space="preserve">1 050 000,00 руб.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cyan"/>
                <w:lang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cyan"/>
                <w:lang w:eastAsia="en-US"/>
              </w:rPr>
              <w:t xml:space="preserve"> (НДС не облагается).</w:t>
            </w:r>
            <w:r>
              <w:rPr>
                <w:rFonts w:ascii="Times New Roman" w:hAnsi="Times New Roman" w:cs="Times New Roman"/>
                <w:sz w:val="24"/>
                <w:szCs w:val="24"/>
                <w:highlight w:val="cyan"/>
                <w14:ligatures w14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cyan"/>
                <w14:ligatures w14:val="none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cyan"/>
                <w:lang w:eastAsia="en-US"/>
              </w:rPr>
              <w:t xml:space="preserve">Сумма обеспечения заявки предусмотрена в размере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cyan"/>
                <w:lang w:eastAsia="en-US"/>
              </w:rPr>
              <w:t xml:space="preserve">2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cyan"/>
                <w:lang w:eastAsia="en-US"/>
              </w:rPr>
              <w:t xml:space="preserve">% от начальной (максимальной) цены договора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cyan"/>
                <w:lang w:eastAsia="en-US"/>
              </w:rPr>
              <w:t xml:space="preserve">в случае предоставления обеспечения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cyan"/>
              </w:rPr>
              <w:t xml:space="preserve">в форме внесения денежных средств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cyan"/>
                <w:lang w:eastAsia="en-US"/>
              </w:rPr>
              <w:t xml:space="preserve">, что составляет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cyan"/>
                <w:lang w:eastAsia="en-US"/>
              </w:rPr>
              <w:t xml:space="preserve">420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cyan"/>
                <w:lang w:eastAsia="en-US"/>
              </w:rPr>
              <w:t xml:space="preserve"> 000,00 ру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cyan"/>
                <w:lang w:eastAsia="en-US"/>
              </w:rPr>
              <w:t xml:space="preserve">б.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cyan"/>
                <w:lang w:eastAsia="en-US"/>
              </w:rPr>
              <w:t xml:space="preserve"> (НДС не облагается).</w:t>
            </w:r>
            <w:r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en-US"/>
              </w:rPr>
              <w:t xml:space="preserve">Обеспечение заявки может быть представлено в форме внесения денежных средств или в форме независимой гарантии. Выбор способа обеспечения заявки на участие в закупке осуществляется участником закупки самостоятельно.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В случае выбора способа обеспечения заявки в форме внесения денежных средств на счет Заказчика, денежные средства вносятся на следующий счет: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Получатель: Публичное Акционерное Общество «Россети Северо-Запад»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Место нахождения: Россия, 196247, город Санкт-Петербург, площадь Конституции, дом 3, литер А, помещение 16Н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ИНН 7802312751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КПП 997650001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ОГРН 1047855175785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ОКПО 74824610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Банковские реквизиты: р/сч 40702810539000005887 в Ф. ОПЕРУ Банка ВТБ (ПАО) в Санкт-Петербурге г. Санкт-Петербург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к/сч 30101810200000000704 в ГРКЦ ГУ Банка России по г. Санкт-Петербургу БИК 044030704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В платежном поручении в графе «назначение платежа» необходимо указать «Обеспечение заявки на участие в закупке (реестровый номер закупки в ЕИС)».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en-US"/>
              </w:rPr>
              <w:t xml:space="preserve">Порядок, срок и случаи возврата такого обеспечения и иные требования к такому обеспечению, в том числе условия независимой гарантии установлены в </w:t>
            </w:r>
            <w:hyperlink w:tooltip="#_Требования_к_обеспечению" w:anchor="_Требования_к_обеспечению" w:history="1">
              <w:r>
                <w:rPr>
                  <w:rFonts w:ascii="Times New Roman" w:hAnsi="Times New Roman" w:eastAsia="Times New Roman" w:cs="Times New Roman"/>
                  <w:color w:val="0000ff"/>
                  <w:sz w:val="24"/>
                  <w:szCs w:val="24"/>
                  <w:u w:val="single"/>
                  <w:lang w:eastAsia="en-US"/>
                </w:rPr>
                <w:t xml:space="preserve">п. 3.6. Требования к обеспечению заявок на участие в закупке части I «ОБЩИЕ УСЛОВИЯ ПРОВЕДЕНИЯ ЗАКУПКИ».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567" w:type="dxa"/>
            <w:textDirection w:val="lrTb"/>
            <w:noWrap w:val="false"/>
          </w:tcPr>
          <w:p>
            <w:pPr>
              <w:pStyle w:val="1311"/>
              <w:numPr>
                <w:ilvl w:val="0"/>
                <w:numId w:val="28"/>
              </w:numPr>
              <w:contextualSpacing/>
              <w:ind w:hanging="828"/>
              <w:jc w:val="both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3544" w:type="dxa"/>
            <w:textDirection w:val="lrTb"/>
            <w:noWrap w:val="false"/>
          </w:tcPr>
          <w:p>
            <w:pPr>
              <w:pStyle w:val="1150"/>
              <w:ind w:left="0" w:hanging="13"/>
              <w:keepNext w:val="0"/>
              <w:spacing w:before="0" w:after="0" w:line="240" w:lineRule="auto"/>
              <w:tabs>
                <w:tab w:val="clear" w:pos="312" w:leader="none"/>
                <w:tab w:val="num" w:pos="630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Start w:id="210" w:name="_Сведения_о_предоставлении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Start w:id="211" w:name="_Информация_об_установлении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End w:id="210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End w:id="211"/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green"/>
              </w:rPr>
              <w:t xml:space="preserve">Информация об установлении запрета / ограничения закупки работ, услуг, соответственно выполняемых, оказываемых иностранными лицами установлены в соответствии с </w:t>
            </w:r>
            <w:hyperlink r:id="rId45" w:tooltip="https://www.consultant.ru/document/cons_doc_LAW_494318/92d969e26a4326c5d02fa79b8f9cf4994ee5633b/" w:history="1">
              <w:r>
                <w:rPr>
                  <w:rStyle w:val="1218"/>
                  <w:rFonts w:ascii="Times New Roman" w:hAnsi="Times New Roman" w:eastAsia="Times New Roman" w:cs="Times New Roman"/>
                  <w:b w:val="0"/>
                  <w:bCs w:val="0"/>
                  <w:sz w:val="24"/>
                  <w:szCs w:val="24"/>
                  <w:highlight w:val="green"/>
                </w:rPr>
                <w:t xml:space="preserve">постановлением Правительства РФ от 23.12.2024 № 1875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6095" w:type="dxa"/>
            <w:textDirection w:val="lrTb"/>
            <w:noWrap w:val="false"/>
          </w:tcPr>
          <w:p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Информация об установлении запрета или ограничения в соответствии с требованиями </w:t>
            </w:r>
            <w:hyperlink r:id="rId46" w:tooltip="https://www.consultant.ru/document/cons_doc_LAW_494318/92d969e26a4326c5d02fa79b8f9cf4994ee5633b/" w:history="1">
              <w:r>
                <w:rPr>
                  <w:rStyle w:val="1218"/>
                  <w:rFonts w:ascii="Times New Roman" w:hAnsi="Times New Roman" w:eastAsia="Times New Roman" w:cs="Times New Roman"/>
                  <w:sz w:val="24"/>
                  <w:szCs w:val="24"/>
                  <w:highlight w:val="green"/>
                </w:rPr>
                <w:t xml:space="preserve">постановления Правительства РФ от 23.12.2024 № 1875</w:t>
              </w:r>
            </w:hyperlink>
            <w:r>
              <w:rPr>
                <w:rStyle w:val="1218"/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Style w:val="1218"/>
                <w:rFonts w:ascii="Times New Roman" w:hAnsi="Times New Roman" w:eastAsia="Times New Roman" w:cs="Times New Roman"/>
                <w:color w:val="auto"/>
                <w:sz w:val="24"/>
                <w:szCs w:val="24"/>
                <w:u w:val="none"/>
              </w:rPr>
              <w:t xml:space="preserve">указана</w:t>
            </w:r>
            <w:r>
              <w:rPr>
                <w:rStyle w:val="1218"/>
                <w:rFonts w:ascii="Times New Roman" w:hAnsi="Times New Roman" w:eastAsia="Times New Roman" w:cs="Times New Roman"/>
                <w:sz w:val="24"/>
                <w:szCs w:val="24"/>
              </w:rPr>
              <w:t xml:space="preserve"> в части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hyperlink w:tooltip="#_ТЕХНИЧЕСКАЯ_ЧАСТЬ" w:anchor="_ТЕХНИЧЕСКАЯ_ЧАСТЬ" w:history="1">
              <w:r>
                <w:rPr>
                  <w:rStyle w:val="1218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V «Техническая часть»</w:t>
              </w:r>
            </w:hyperlink>
            <w:r>
              <w:rPr>
                <w:rStyle w:val="1218"/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настоящей документации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о закупке.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567" w:type="dxa"/>
            <w:textDirection w:val="lrTb"/>
            <w:noWrap w:val="false"/>
          </w:tcPr>
          <w:p>
            <w:pPr>
              <w:pStyle w:val="1311"/>
              <w:numPr>
                <w:ilvl w:val="0"/>
                <w:numId w:val="28"/>
              </w:numPr>
              <w:contextualSpacing/>
              <w:ind w:hanging="828"/>
              <w:jc w:val="both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3544" w:type="dxa"/>
            <w:textDirection w:val="lrTb"/>
            <w:noWrap w:val="false"/>
          </w:tcPr>
          <w:p>
            <w:pPr>
              <w:pStyle w:val="1150"/>
              <w:ind w:left="0" w:hanging="13"/>
              <w:keepNext w:val="0"/>
              <w:spacing w:before="0" w:after="0" w:line="240" w:lineRule="auto"/>
              <w:tabs>
                <w:tab w:val="clear" w:pos="312" w:leader="none"/>
                <w:tab w:val="num" w:pos="630" w:leader="none"/>
              </w:tabs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 xml:space="preserve">Информацию о возможности изменения сроков проведения этапов закупки, осуществляемых после окончания срока подачи заявок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6095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 решению Закупочной комиссии после окончания срока подачи заявок Организатор закупки вправе изменить сроки проведения последующих этапов закупки.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567" w:type="dxa"/>
            <w:textDirection w:val="lrTb"/>
            <w:noWrap w:val="false"/>
          </w:tcPr>
          <w:p>
            <w:pPr>
              <w:pStyle w:val="1311"/>
              <w:numPr>
                <w:ilvl w:val="0"/>
                <w:numId w:val="28"/>
              </w:numPr>
              <w:contextualSpacing/>
              <w:ind w:hanging="828"/>
              <w:jc w:val="both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3544" w:type="dxa"/>
            <w:textDirection w:val="lrTb"/>
            <w:noWrap w:val="false"/>
          </w:tcPr>
          <w:p>
            <w:pPr>
              <w:pStyle w:val="1150"/>
              <w:ind w:left="0" w:hanging="13"/>
              <w:keepNext w:val="0"/>
              <w:spacing w:before="0" w:after="0" w:line="240" w:lineRule="auto"/>
              <w:tabs>
                <w:tab w:val="clear" w:pos="312" w:leader="none"/>
                <w:tab w:val="num" w:pos="630" w:leader="none"/>
              </w:tabs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Start w:id="212" w:name="_Единые_требования_к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Start w:id="213" w:name="Par55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End w:id="212"/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 xml:space="preserve">Единые требования к участникам закупки</w:t>
            </w:r>
            <w:bookmarkEnd w:id="213"/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6095" w:type="dxa"/>
            <w:textDirection w:val="lrTb"/>
            <w:noWrap w:val="false"/>
          </w:tcPr>
          <w:p>
            <w:pPr>
              <w:pStyle w:val="1311"/>
              <w:numPr>
                <w:ilvl w:val="1"/>
                <w:numId w:val="27"/>
              </w:numPr>
              <w:contextualSpacing/>
              <w:ind w:left="0" w:firstLine="0"/>
              <w:jc w:val="both"/>
              <w:spacing w:line="240" w:lineRule="auto"/>
              <w:tabs>
                <w:tab w:val="left" w:pos="459" w:leader="none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Должен обладать гражданской правоспособностью в полном объеме для заключения и исполнения Договора.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  <w:p>
            <w:pPr>
              <w:pStyle w:val="1311"/>
              <w:numPr>
                <w:ilvl w:val="1"/>
                <w:numId w:val="27"/>
              </w:numPr>
              <w:contextualSpacing/>
              <w:ind w:left="0" w:firstLine="0"/>
              <w:jc w:val="both"/>
              <w:spacing w:line="240" w:lineRule="auto"/>
              <w:tabs>
                <w:tab w:val="left" w:pos="459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Не должен являться неплатежеспособным или банкротом, должно отсутствовать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вступившее в законную силу решение арбитражного суда об открытии конкурсного производства, не должен находиться в процессе ликвидации, на имущество Участника не должен быть наложен арест, экономическая деятельность Участника не должна быть приостановлена.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311"/>
              <w:numPr>
                <w:ilvl w:val="1"/>
                <w:numId w:val="27"/>
              </w:numPr>
              <w:contextualSpacing/>
              <w:ind w:left="0" w:firstLine="0"/>
              <w:jc w:val="both"/>
              <w:spacing w:line="240" w:lineRule="auto"/>
              <w:tabs>
                <w:tab w:val="left" w:pos="459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Должна отсутствовать недоимка по налог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ам, сборам, задолженность по иным обязательным платежам в бюджеты бюджетной системы Российской Федерации за прошедший календарный год, размер которых превышает двадцать пять процентов балансовой стоимости активов Участника, по данным бухгалтерской отчетнос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ти за последний отчетный период.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311"/>
              <w:numPr>
                <w:ilvl w:val="1"/>
                <w:numId w:val="27"/>
              </w:numPr>
              <w:contextualSpacing/>
              <w:ind w:left="0" w:firstLine="0"/>
              <w:jc w:val="both"/>
              <w:spacing w:line="240" w:lineRule="auto"/>
              <w:tabs>
                <w:tab w:val="left" w:pos="459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zh-CN"/>
              </w:rPr>
              <w:t xml:space="preserve">В отношении лиц, осуществляющих функции исполнительного органа управления участника, лиц, 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zh-CN"/>
              </w:rPr>
              <w:t xml:space="preserve">ходящих в совет директоров (наблюдательный совет) участника должно отсутствовать административное наказание в виде дисквалификации. Должны отсутствовать сведения об участнике закупки в реестре розыска по исполнительным производствам на электронном портале </w:t>
            </w:r>
            <w:hyperlink r:id="rId47" w:tooltip="http://fssprus.ru/" w:history="1">
              <w:r>
                <w:rPr>
                  <w:rStyle w:val="1218"/>
                  <w:rFonts w:ascii="Times New Roman" w:hAnsi="Times New Roman" w:eastAsia="Times New Roman" w:cs="Times New Roman"/>
                  <w:sz w:val="24"/>
                  <w:szCs w:val="24"/>
                  <w:lang w:eastAsia="zh-CN"/>
                </w:rPr>
                <w:t xml:space="preserve">http://fssprus.ru/</w:t>
              </w:r>
            </w:hyperlink>
            <w:r>
              <w:rPr>
                <w:rStyle w:val="1218"/>
                <w:rFonts w:ascii="Times New Roman" w:hAnsi="Times New Roman" w:eastAsia="Times New Roman" w:cs="Times New Roman"/>
                <w:sz w:val="24"/>
                <w:szCs w:val="24"/>
                <w:lang w:eastAsia="zh-CN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311"/>
              <w:numPr>
                <w:ilvl w:val="1"/>
                <w:numId w:val="27"/>
              </w:numPr>
              <w:contextualSpacing/>
              <w:ind w:left="0" w:firstLine="0"/>
              <w:jc w:val="both"/>
              <w:spacing w:line="240" w:lineRule="auto"/>
              <w:tabs>
                <w:tab w:val="left" w:pos="459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 течение двух лет до момента подачи заявки на участие в закупке, участник закупки не должен иметь фактов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привлечения к административной ответственности за совершение административного правонарушения, предусмотренного </w:t>
            </w:r>
            <w:hyperlink r:id="rId48" w:tooltip="https://www.consultant.ru/document/cons_doc_LAW_34661/f61ff313afecf81a91a43d729c2df55c1d6a1533/?ysclid=lg4qmycd5r789935285" w:history="1">
              <w:r>
                <w:rPr>
                  <w:rStyle w:val="1218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статьей 19.28 Кодекса Российской Федерации об административных правонарушениях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311"/>
              <w:numPr>
                <w:ilvl w:val="1"/>
                <w:numId w:val="27"/>
              </w:numPr>
              <w:contextualSpacing/>
              <w:ind w:left="0" w:firstLine="0"/>
              <w:jc w:val="both"/>
              <w:spacing w:line="240" w:lineRule="auto"/>
              <w:tabs>
                <w:tab w:val="left" w:pos="459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Отсутствие сведений об Участнике в реестре недобросовестных поставщиков, который ведется в соответствии с </w:t>
            </w:r>
            <w:hyperlink r:id="rId49" w:tooltip="https://www.consultant.ru/document/cons_doc_LAW_116964/a3b63487ad7d07ce045a07b0f1e7a9d9b064de95/?ysclid=lh64ujuyrf221084500" w:history="1">
              <w:r>
                <w:rPr>
                  <w:rStyle w:val="1218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Федеральным законом от 18.07.2011 № 223-ФЗ «О закупках товаров, работ, услуг отдельными видами юридических лиц»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311"/>
              <w:numPr>
                <w:ilvl w:val="1"/>
                <w:numId w:val="27"/>
              </w:numPr>
              <w:contextualSpacing/>
              <w:ind w:left="0" w:firstLine="0"/>
              <w:jc w:val="both"/>
              <w:spacing w:line="240" w:lineRule="auto"/>
              <w:tabs>
                <w:tab w:val="left" w:pos="459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Отсутствие сведений об Участнике в реестре недобросовестных поставщиков, который ведется в соответствии с </w:t>
            </w:r>
            <w:hyperlink r:id="rId50" w:tooltip="https://www.consultant.ru/document/cons_doc_LAW_144624/" w:history="1">
              <w:r>
                <w:rPr>
                  <w:rStyle w:val="1218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Федеральным законом от 05.04.2013 № 44-ФЗ «О контрактной системе в сфере закупок товаров, работ, услуг для обеспечения государственных и муниципальных нужд»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311"/>
              <w:numPr>
                <w:ilvl w:val="1"/>
                <w:numId w:val="27"/>
              </w:numPr>
              <w:contextualSpacing/>
              <w:ind w:left="0" w:firstLine="0"/>
              <w:jc w:val="both"/>
              <w:spacing w:line="240" w:lineRule="auto"/>
              <w:tabs>
                <w:tab w:val="left" w:pos="459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Отсутствие сведений об Участнике в реестре иностранных агентов, который ведется в соответствии с </w:t>
            </w:r>
            <w:hyperlink r:id="rId51" w:tooltip="https://www.consultant.ru/document/cons_doc_LAW_421788/?ysclid=lhoub12jl9945165196" w:history="1">
              <w:r>
                <w:rPr>
                  <w:rStyle w:val="1218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Федеральным законом от 14 июля 2022 года N 255-ФЗ «О контроле за деятельностью лиц, находящихся под иностранным влиянием»</w:t>
              </w:r>
            </w:hyperlink>
            <w:r>
              <w:rPr>
                <w:rStyle w:val="1218"/>
                <w:rFonts w:ascii="Times New Roman" w:hAnsi="Times New Roman" w:eastAsia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567" w:type="dxa"/>
            <w:textDirection w:val="lrTb"/>
            <w:noWrap w:val="false"/>
          </w:tcPr>
          <w:p>
            <w:pPr>
              <w:pStyle w:val="1311"/>
              <w:numPr>
                <w:ilvl w:val="0"/>
                <w:numId w:val="28"/>
              </w:numPr>
              <w:contextualSpacing/>
              <w:ind w:hanging="828"/>
              <w:jc w:val="both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3544" w:type="dxa"/>
            <w:textDirection w:val="lrTb"/>
            <w:noWrap w:val="false"/>
          </w:tcPr>
          <w:p>
            <w:pPr>
              <w:pStyle w:val="1150"/>
              <w:ind w:left="0" w:hanging="13"/>
              <w:keepNext w:val="0"/>
              <w:spacing w:before="0" w:after="0" w:line="240" w:lineRule="auto"/>
              <w:tabs>
                <w:tab w:val="clear" w:pos="312" w:leader="none"/>
                <w:tab w:val="num" w:pos="630" w:leader="none"/>
              </w:tabs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Start w:id="214" w:name="_Требования,_установленные_в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End w:id="214"/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 xml:space="preserve">Требования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 xml:space="preserve">, установленны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 xml:space="preserve"> в соответствии с законодательством Российской Федерации к лицам, осуществляющим поставку товара, выполнение работы, оказание услуги, являющихся предметом закупки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6095" w:type="dxa"/>
            <w:textDirection w:val="lrTb"/>
            <w:noWrap w:val="false"/>
          </w:tcPr>
          <w:p>
            <w:pPr>
              <w:pStyle w:val="1311"/>
              <w:contextualSpacing/>
              <w:ind w:left="0"/>
              <w:jc w:val="both"/>
              <w:spacing w:line="240" w:lineRule="auto"/>
              <w:tabs>
                <w:tab w:val="left" w:pos="351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Не установлены.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567" w:type="dxa"/>
            <w:textDirection w:val="lrTb"/>
            <w:noWrap w:val="false"/>
          </w:tcPr>
          <w:p>
            <w:pPr>
              <w:pStyle w:val="1311"/>
              <w:numPr>
                <w:ilvl w:val="0"/>
                <w:numId w:val="28"/>
              </w:numPr>
              <w:contextualSpacing/>
              <w:ind w:hanging="828"/>
              <w:jc w:val="both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 w:eastAsiaTheme="minorHAnsi"/>
                <w:b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3544" w:type="dxa"/>
            <w:textDirection w:val="lrTb"/>
            <w:noWrap w:val="false"/>
          </w:tcPr>
          <w:p>
            <w:pPr>
              <w:pStyle w:val="1150"/>
              <w:ind w:left="0" w:hanging="13"/>
              <w:keepNext w:val="0"/>
              <w:spacing w:before="0" w:after="0" w:line="240" w:lineRule="auto"/>
              <w:tabs>
                <w:tab w:val="clear" w:pos="312" w:leader="none"/>
                <w:tab w:val="num" w:pos="630" w:leader="none"/>
              </w:tabs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Start w:id="215" w:name="_Квалификационные_требования_к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Start w:id="216" w:name="Par56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End w:id="215"/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 xml:space="preserve">Иные отборочные критерии, установленные в соответствии </w:t>
            </w:r>
            <w:bookmarkEnd w:id="216"/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 xml:space="preserve">с   Приложением 1 к «Типовым требованиям к участникам закупок, критериям и порядку оценки  заявок участников закупок» Единого стандарта ПАО «Россети»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6095" w:type="dxa"/>
            <w:textDirection w:val="lrTb"/>
            <w:noWrap w:val="false"/>
          </w:tcPr>
          <w:p>
            <w:pPr>
              <w:pStyle w:val="1311"/>
              <w:numPr>
                <w:ilvl w:val="1"/>
                <w:numId w:val="27"/>
              </w:numPr>
              <w:contextualSpacing/>
              <w:ind w:left="0" w:firstLine="0"/>
              <w:jc w:val="both"/>
              <w:spacing w:line="240" w:lineRule="auto"/>
              <w:tabs>
                <w:tab w:val="left" w:pos="459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Должен иметь за последние 3 (три) года на дату размещения извещения о закупке на официальном сайте единой информационной системы в сфере закупок в информационно-телекоммуникационной сети Интернет опыт исполнения аналогичных договоров на сумму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не менее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</w:rPr>
              <w:t xml:space="preserve">80%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none"/>
              </w:rPr>
              <w:t xml:space="preserve">(восьмидесяти процентов)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 стоимости начальной (максимальной) цен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ы договора (лота), установленной в настоящей информационной карте закупки.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contextualSpacing/>
              <w:spacing w:after="0" w:line="240" w:lineRule="auto"/>
              <w:tabs>
                <w:tab w:val="left" w:pos="459" w:leader="none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При этом аналогичными договорами будут признаны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договоры в соответствии с ОКПД2 82.30 Услуги по организации конференций и торговых выставок и ОКВЭД2 82.30 Деятельность по организации конференций и выставок.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  <w:p>
            <w:pPr>
              <w:contextualSpacing/>
              <w:spacing w:after="0" w:line="240" w:lineRule="auto"/>
              <w:tabs>
                <w:tab w:val="left" w:pos="459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contextualSpacing/>
              <w:spacing w:after="0" w:line="240" w:lineRule="auto"/>
              <w:tabs>
                <w:tab w:val="left" w:pos="459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 рамках данного требования к учету будет принята стоимость оказанных услуг/выполненных работ, отраженных в актах оказанных услу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г/выполненных работ за последние 3 (три) года на дату размещения извещения о закупке на официальном сайте единой информационной системы в сфере закупок в информационно-телекоммуникационной сети Интернет по аналогичным договорам, которые исполнены на 100 %.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contextualSpacing/>
              <w:spacing w:after="0" w:line="240" w:lineRule="auto"/>
              <w:tabs>
                <w:tab w:val="left" w:pos="459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Из расчета исключаются договоры, не являющиеся аналогичными, договоры, не исполненные на 100%, договоры, указанные в справке, по которым отсутствуют подтверждающие документы, а также договоры, не указанные в справке.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contextualSpacing/>
              <w:spacing w:after="0" w:line="240" w:lineRule="auto"/>
              <w:tabs>
                <w:tab w:val="left" w:pos="459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285"/>
              <w:ind w:firstLine="0"/>
              <w:jc w:val="both"/>
              <w:spacing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hyperlink w:tooltip="#_ФОРМА_Справка_о_1" w:anchor="_ФОРМА_Справка_о_1" w:history="1">
              <w:r>
                <w:rPr>
                  <w:rFonts w:ascii="Times New Roman" w:hAnsi="Times New Roman" w:eastAsia="Times New Roman" w:cs="Times New Roman"/>
                  <w:color w:val="0000ff"/>
                  <w:sz w:val="24"/>
                  <w:szCs w:val="24"/>
                  <w:u w:val="single"/>
                </w:rPr>
                <w:t xml:space="preserve">Справка о перечне и объемах исполнения аналогичных договоров по форме, установленной в настоящей документации о закупке (часть III документации о закупке).</w:t>
              </w:r>
            </w:hyperlink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567" w:type="dxa"/>
            <w:textDirection w:val="lrTb"/>
            <w:noWrap w:val="false"/>
          </w:tcPr>
          <w:p>
            <w:pPr>
              <w:pStyle w:val="1311"/>
              <w:numPr>
                <w:ilvl w:val="0"/>
                <w:numId w:val="28"/>
              </w:numPr>
              <w:contextualSpacing/>
              <w:ind w:hanging="828"/>
              <w:jc w:val="both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3544" w:type="dxa"/>
            <w:textDirection w:val="lrTb"/>
            <w:noWrap w:val="false"/>
          </w:tcPr>
          <w:p>
            <w:pPr>
              <w:pStyle w:val="1150"/>
              <w:ind w:left="0" w:hanging="13"/>
              <w:keepNext w:val="0"/>
              <w:spacing w:before="0" w:after="0" w:line="240" w:lineRule="auto"/>
              <w:tabs>
                <w:tab w:val="clear" w:pos="312" w:leader="none"/>
                <w:tab w:val="num" w:pos="630" w:leader="none"/>
              </w:tabs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Start w:id="217" w:name="_Сведения_и_документы,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Start w:id="218" w:name="Par66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End w:id="217"/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 xml:space="preserve">Сведения и документы, входящие в состав заявки на участие </w:t>
            </w:r>
            <w:bookmarkEnd w:id="218"/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6095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tabs>
                <w:tab w:val="left" w:pos="383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В состав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en-US"/>
              </w:rPr>
              <w:t xml:space="preserve">ценового предложения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 Участник должен включить следующие документы: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hyperlink w:tooltip="#_ФОРМА_КОММЕРЧЕСКОЕ_ПРЕДЛОЖЕНИЕ" w:anchor="_ФОРМА_КОММЕРЧЕСКОЕ_ПРЕДЛОЖЕНИЕ" w:history="1">
              <w:r>
                <w:rPr>
                  <w:rFonts w:ascii="Times New Roman" w:hAnsi="Times New Roman" w:eastAsia="Times New Roman" w:cs="Times New Roman"/>
                  <w:color w:val="0000ff"/>
                  <w:sz w:val="24"/>
                  <w:szCs w:val="24"/>
                  <w:u w:val="single"/>
                </w:rPr>
                <w:t xml:space="preserve">Коммерческое предложение по форме и в соответствии с инструкциями, приведенными в настоящей документации о закупке (часть III документации о закупке)</w:t>
              </w:r>
            </w:hyperlink>
            <w:r>
              <w:rPr>
                <w:rFonts w:ascii="Times New Roman" w:hAnsi="Times New Roman" w:eastAsia="Times New Roman" w:cs="Times New Roman"/>
                <w:color w:val="0000ff"/>
                <w:sz w:val="24"/>
                <w:szCs w:val="24"/>
                <w:u w:val="single"/>
              </w:rPr>
              <w:t xml:space="preserve">.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r>
          </w:p>
          <w:p>
            <w:pPr>
              <w:spacing w:after="0"/>
              <w:widowControl w:val="off"/>
              <w:tabs>
                <w:tab w:val="left" w:pos="383" w:leader="none"/>
              </w:tabs>
              <w:rPr>
                <w:color w:val="ff0000"/>
                <w:u w:val="single"/>
                <w:lang w:eastAsia="en-US"/>
              </w:rPr>
            </w:pPr>
            <w:r>
              <w:rPr>
                <w:b/>
                <w:color w:val="ff0000"/>
                <w:u w:val="single"/>
                <w:lang w:eastAsia="en-US"/>
              </w:rPr>
              <w:t xml:space="preserve">Примечание</w:t>
            </w:r>
            <w:r>
              <w:rPr>
                <w:color w:val="ff0000"/>
                <w:u w:val="single"/>
                <w:lang w:eastAsia="en-US"/>
              </w:rPr>
              <w:t xml:space="preserve">: </w:t>
            </w:r>
            <w:r>
              <w:rPr>
                <w:color w:val="ff0000"/>
                <w:u w:val="single"/>
                <w:lang w:eastAsia="en-US"/>
              </w:rPr>
            </w:r>
            <w:r>
              <w:rPr>
                <w:color w:val="ff0000"/>
                <w:u w:val="single"/>
                <w:lang w:eastAsia="en-US"/>
              </w:rPr>
            </w:r>
          </w:p>
          <w:p>
            <w:pPr>
              <w:spacing w:after="0"/>
              <w:widowControl w:val="off"/>
              <w:tabs>
                <w:tab w:val="left" w:pos="383" w:leader="none"/>
              </w:tabs>
              <w:rPr>
                <w:color w:val="ff0000"/>
                <w:u w:val="single"/>
                <w:lang w:eastAsia="en-US"/>
              </w:rPr>
            </w:pPr>
            <w:r>
              <w:rPr>
                <w:color w:val="ff0000"/>
                <w:u w:val="single"/>
                <w:lang w:eastAsia="en-US"/>
              </w:rPr>
              <w:t xml:space="preserve">При формировании ценовой части заявки (либо при участии в </w:t>
            </w:r>
            <w:r>
              <w:rPr>
                <w:color w:val="ff0000"/>
                <w:u w:val="single"/>
                <w:lang w:eastAsia="en-US"/>
              </w:rPr>
              <w:t xml:space="preserve">переторжке</w:t>
            </w:r>
            <w:r>
              <w:rPr>
                <w:color w:val="ff0000"/>
                <w:u w:val="single"/>
                <w:lang w:eastAsia="en-US"/>
              </w:rPr>
              <w:t xml:space="preserve">) Участник закупки указывает в форме, заполняемой на ЭТП, Условную итоговую стоимость заявки Участника.</w:t>
            </w:r>
            <w:r>
              <w:rPr>
                <w:color w:val="ff0000"/>
                <w:u w:val="single"/>
                <w:lang w:eastAsia="en-US"/>
              </w:rPr>
            </w:r>
            <w:r>
              <w:rPr>
                <w:color w:val="ff0000"/>
                <w:u w:val="single"/>
                <w:lang w:eastAsia="en-US"/>
              </w:rPr>
            </w:r>
          </w:p>
          <w:p>
            <w:pPr>
              <w:pStyle w:val="1269"/>
              <w:numPr>
                <w:ilvl w:val="0"/>
                <w:numId w:val="0"/>
              </w:numPr>
              <w:tabs>
                <w:tab w:val="left" w:pos="383" w:leader="none"/>
              </w:tabs>
              <w:rPr>
                <w:lang w:eastAsia="en-US"/>
              </w:rPr>
            </w:pPr>
            <w:r>
              <w:rPr>
                <w:color w:val="ff0000"/>
                <w:u w:val="single"/>
                <w:lang w:eastAsia="en-US"/>
              </w:rPr>
              <w:t xml:space="preserve">При этом Участник закупки загружает в ценовую часть </w:t>
            </w:r>
            <w:r>
              <w:rPr>
                <w:color w:val="ff0000"/>
                <w:u w:val="single"/>
                <w:lang w:eastAsia="en-US"/>
              </w:rPr>
              <w:t xml:space="preserve">заявки (либо при участии в переторжке</w:t>
            </w:r>
            <w:r>
              <w:rPr>
                <w:color w:val="ff0000"/>
                <w:u w:val="single"/>
                <w:lang w:eastAsia="en-US"/>
              </w:rPr>
              <w:t xml:space="preserve">) на ЭТП файл Коммерческого предложения (заполненный в соответствии с приложением 4 к настоящей документации) в редактируемом формате и в виде сканированного образа документа, подписанного уполномоченным лицом Участника.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spacing w:after="0" w:line="240" w:lineRule="auto"/>
              <w:widowControl w:val="off"/>
              <w:tabs>
                <w:tab w:val="left" w:pos="383" w:leader="none"/>
              </w:tabs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  <w:highlight w:val="none"/>
                <w:u w:val="single"/>
              </w:rPr>
            </w:pPr>
            <w:r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  <w:highlight w:val="none"/>
                <w:u w:val="single"/>
                <w:lang w:eastAsia="en-US"/>
              </w:rPr>
            </w:r>
            <w:r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  <w:highlight w:val="none"/>
                <w:u w:val="single"/>
              </w:rPr>
            </w:r>
            <w:r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  <w:highlight w:val="none"/>
                <w:u w:val="single"/>
              </w:rPr>
            </w:r>
          </w:p>
          <w:p>
            <w:pPr>
              <w:pStyle w:val="1269"/>
              <w:numPr>
                <w:ilvl w:val="0"/>
                <w:numId w:val="0"/>
              </w:numPr>
              <w:spacing w:line="240" w:lineRule="auto"/>
              <w:tabs>
                <w:tab w:val="left" w:pos="383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В состав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en-US"/>
              </w:rPr>
              <w:t xml:space="preserve">общей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en-US"/>
              </w:rPr>
              <w:t xml:space="preserve"> части заявки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(отдельно от ценового предложения)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 Участник должен включить следующие документы: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269"/>
              <w:numPr>
                <w:ilvl w:val="0"/>
                <w:numId w:val="30"/>
              </w:numPr>
              <w:ind w:left="0" w:firstLine="0"/>
              <w:spacing w:line="240" w:lineRule="auto"/>
              <w:tabs>
                <w:tab w:val="left" w:pos="383" w:leader="none"/>
              </w:tabs>
              <w:rPr>
                <w:rStyle w:val="1218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hyperlink w:tooltip="#_ФОРМА_1._ТЕХНИЧЕСКОЕ" w:anchor="_ФОРМА_1._ТЕХНИЧЕСКОЕ" w:history="1">
              <w:r>
                <w:rPr>
                  <w:rStyle w:val="1218"/>
                  <w:rFonts w:ascii="Times New Roman" w:hAnsi="Times New Roman" w:eastAsia="Times New Roman" w:cs="Times New Roman"/>
                  <w:sz w:val="24"/>
                  <w:szCs w:val="24"/>
                  <w:lang w:eastAsia="en-US"/>
                </w:rPr>
                <w:t xml:space="preserve">Техническое предложение по форме и в соответствии с инструкциями, приведенными в настоящей документации о закупке (часть III документации о закупке);</w:t>
              </w:r>
            </w:hyperlink>
            <w:r>
              <w:rPr>
                <w:rStyle w:val="1218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</w:r>
            <w:r>
              <w:rPr>
                <w:rStyle w:val="1218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</w:r>
          </w:p>
          <w:p>
            <w:pPr>
              <w:pStyle w:val="1269"/>
              <w:numPr>
                <w:ilvl w:val="0"/>
                <w:numId w:val="30"/>
              </w:numPr>
              <w:ind w:left="0" w:firstLine="0"/>
              <w:spacing w:line="240" w:lineRule="auto"/>
              <w:tabs>
                <w:tab w:val="left" w:pos="383" w:leader="none"/>
              </w:tabs>
              <w:rPr>
                <w:rStyle w:val="1218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hyperlink w:tooltip="#_ФОРМА_4._ПИСЬМО" w:anchor="_ФОРМА_4._ПИСЬМО" w:history="1">
              <w:r>
                <w:rPr>
                  <w:rStyle w:val="1218"/>
                  <w:rFonts w:ascii="Times New Roman" w:hAnsi="Times New Roman" w:eastAsia="Times New Roman" w:cs="Times New Roman"/>
                  <w:sz w:val="24"/>
                  <w:szCs w:val="24"/>
                  <w:lang w:eastAsia="en-US"/>
                </w:rPr>
                <w:t xml:space="preserve">Письмо о подаче оферты по форме и в соответствии с инструкциями, приведенными в настоящей документации о закупке (часть III документации о закупке);</w:t>
              </w:r>
            </w:hyperlink>
            <w:r>
              <w:rPr>
                <w:rStyle w:val="1218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</w:r>
            <w:r>
              <w:rPr>
                <w:rStyle w:val="1218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</w:r>
          </w:p>
          <w:p>
            <w:pPr>
              <w:numPr>
                <w:ilvl w:val="0"/>
                <w:numId w:val="30"/>
              </w:numPr>
              <w:ind w:left="0" w:firstLine="0"/>
              <w:spacing w:after="0" w:line="240" w:lineRule="auto"/>
              <w:widowControl w:val="off"/>
              <w:tabs>
                <w:tab w:val="left" w:pos="383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Документы (приказы, протоколы собрания учредителей о назначении руководителя и т.д.), подтверждающие полномочия лица, подписавшего Заявку</w:t>
            </w:r>
            <w:r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  <w:lang w:eastAsia="en-US"/>
              </w:rPr>
              <w:t xml:space="preserve">*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, а также его право на заключение соответствующего Договора по результатам закупки. Если Заявка подписывается по доверенности, предоставляется такая доверенность и вышеуказанные документы на лицо, выдавшее доверенность;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left="63" w:hanging="63"/>
              <w:spacing w:after="0" w:line="240" w:lineRule="auto"/>
              <w:widowControl w:val="off"/>
              <w:tabs>
                <w:tab w:val="left" w:pos="383" w:leader="none"/>
              </w:tabs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i/>
                <w:color w:val="ff0000"/>
                <w:sz w:val="24"/>
                <w:szCs w:val="24"/>
                <w:lang w:eastAsia="en-US"/>
              </w:rPr>
              <w:t xml:space="preserve">*для коллективного участника, необходимо предоставить доверенность или иной документ</w:t>
            </w:r>
            <w:r>
              <w:rPr>
                <w:rFonts w:ascii="Times New Roman" w:hAnsi="Times New Roman" w:eastAsia="Times New Roman" w:cs="Times New Roman"/>
                <w:bCs/>
                <w:i/>
                <w:color w:val="ff0000"/>
                <w:sz w:val="24"/>
                <w:szCs w:val="24"/>
                <w:lang w:eastAsia="en-US"/>
              </w:rPr>
              <w:t xml:space="preserve">,</w:t>
            </w:r>
            <w:r>
              <w:rPr>
                <w:rFonts w:ascii="Times New Roman" w:hAnsi="Times New Roman" w:eastAsia="Times New Roman" w:cs="Times New Roman"/>
                <w:bCs/>
                <w:i/>
                <w:color w:val="ff0000"/>
                <w:sz w:val="24"/>
                <w:szCs w:val="24"/>
                <w:lang w:eastAsia="en-US"/>
              </w:rPr>
              <w:t xml:space="preserve"> подтверждающий </w:t>
            </w:r>
            <w:r>
              <w:rPr>
                <w:rFonts w:ascii="Times New Roman" w:hAnsi="Times New Roman" w:eastAsia="Times New Roman" w:cs="Times New Roman"/>
                <w:bCs/>
                <w:i/>
                <w:color w:val="ff0000"/>
                <w:sz w:val="24"/>
                <w:szCs w:val="24"/>
                <w:lang w:eastAsia="en-US"/>
              </w:rPr>
              <w:t xml:space="preserve">право подачи заявки и подписания</w:t>
            </w:r>
            <w:r>
              <w:rPr>
                <w:rFonts w:ascii="Times New Roman" w:hAnsi="Times New Roman" w:eastAsia="Times New Roman" w:cs="Times New Roman"/>
                <w:bCs/>
                <w:i/>
                <w:color w:val="ff0000"/>
                <w:sz w:val="24"/>
                <w:szCs w:val="24"/>
                <w:lang w:eastAsia="en-US"/>
              </w:rPr>
              <w:t xml:space="preserve"> документов от членов коллективного участника</w:t>
            </w:r>
            <w:r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r>
          </w:p>
          <w:p>
            <w:pPr>
              <w:pStyle w:val="1269"/>
              <w:numPr>
                <w:ilvl w:val="0"/>
                <w:numId w:val="30"/>
              </w:numPr>
              <w:ind w:left="0" w:firstLine="0"/>
              <w:spacing w:line="240" w:lineRule="auto"/>
              <w:tabs>
                <w:tab w:val="left" w:pos="383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Выписка из Единого государственного реестра юридических лиц (ЕГРЮЛ) (либо выписка из Единого государственного реестра индивидуальных предпринимателей (ЕГРИП) для индивидуальных предпринимателей), выданная соответствующим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подразделением Федеральной налоговой службы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России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 не ранее чем за 60 (шестьдесят) календарных дней до срока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окончания приема Заявок. Участник так же может предоставить  выписку из ЕГРЮЛ / ЕГРИП  подписанную усиленной квалифицированной электронной цифровой подписью налогового органа, и сформированную, не ранее, чем за 60 (шестьдесят) календарных  дней до срока 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ончания приема Заявок, с использованием сервиса "Предоставление сведений из ЕГРЮЛ / ЕГРИП о конкретном юридическом лице/индивидуальном предпринимателе в форме электронного  документа", размещенного на официальном сайте ФНС России в сети Интернет по адресу </w:t>
            </w:r>
            <w:hyperlink r:id="rId52" w:tooltip="https://www.nalog.gov.ru/" w:history="1">
              <w:r>
                <w:rPr>
                  <w:rStyle w:val="1218"/>
                  <w:rFonts w:ascii="Times New Roman" w:hAnsi="Times New Roman" w:eastAsia="Times New Roman" w:cs="Times New Roman"/>
                  <w:sz w:val="24"/>
                  <w:szCs w:val="24"/>
                  <w:lang w:eastAsia="en-US"/>
                </w:rPr>
                <w:t xml:space="preserve">https://www.nalog.gov.ru/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numPr>
                <w:ilvl w:val="0"/>
                <w:numId w:val="30"/>
              </w:numPr>
              <w:ind w:left="0" w:firstLine="0"/>
              <w:spacing w:after="0" w:line="240" w:lineRule="auto"/>
              <w:widowControl w:val="off"/>
              <w:tabs>
                <w:tab w:val="left" w:pos="383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для иностранного юридического лица или физического лица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widowControl w:val="off"/>
              <w:tabs>
                <w:tab w:val="left" w:pos="383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– аналог документа, подтверждающего государственную регистрацию юридического лица в соответствии с законодательством государства по месту нахождения, сопровождающиеся переводом на официальный язык закупки в соответствии с требованиями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документации о закупке;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widowControl w:val="off"/>
              <w:tabs>
                <w:tab w:val="left" w:pos="383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–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документ, подтверждающий существование юридического лица в настоящее время – выписка из торгового реестра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yellow"/>
              </w:rPr>
              <w:t xml:space="preserve">срок действия (на момент представления) - не более 90 (девяносто) календарных дней с даты выдачи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269"/>
              <w:numPr>
                <w:ilvl w:val="0"/>
                <w:numId w:val="30"/>
              </w:numPr>
              <w:ind w:left="0" w:firstLine="0"/>
              <w:spacing w:line="240" w:lineRule="auto"/>
              <w:tabs>
                <w:tab w:val="left" w:pos="383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Устав в действующей редакции со всеми изменениями и дополнениями;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269"/>
              <w:numPr>
                <w:ilvl w:val="0"/>
                <w:numId w:val="30"/>
              </w:numPr>
              <w:ind w:left="0" w:firstLine="0"/>
              <w:spacing w:line="240" w:lineRule="auto"/>
              <w:tabs>
                <w:tab w:val="left" w:pos="383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hyperlink w:tooltip="#_ФОРМА_6._План" w:anchor="_ФОРМА_6._План" w:history="1">
              <w:r>
                <w:rPr>
                  <w:rStyle w:val="1218"/>
                  <w:rFonts w:ascii="Times New Roman" w:hAnsi="Times New Roman" w:eastAsia="Times New Roman" w:cs="Times New Roman"/>
                  <w:sz w:val="24"/>
                  <w:szCs w:val="24"/>
                  <w:lang w:eastAsia="en-US"/>
                </w:rPr>
                <w:t xml:space="preserve">План распределения объемов между членами коллективного участника (консорциума, простого товарищества) по форме и в соответствии с инструкциями, приведенными в настоящей документации о закупке (часть III документации о закупке)</w:t>
              </w:r>
            </w:hyperlink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en-US"/>
              </w:rPr>
              <w:t xml:space="preserve">(п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en-US"/>
              </w:rPr>
              <w:t xml:space="preserve">редоставляется в случае 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en-US"/>
              </w:rPr>
              <w:t xml:space="preserve">участия в закупке Коллективного участника, отсутствие указанного документа в составе заявки означает, что коллективный участник не принимает участие в конкурсе);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269"/>
              <w:numPr>
                <w:ilvl w:val="0"/>
                <w:numId w:val="30"/>
              </w:numPr>
              <w:ind w:left="0" w:firstLine="0"/>
              <w:spacing w:line="240" w:lineRule="auto"/>
              <w:tabs>
                <w:tab w:val="left" w:pos="383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hyperlink w:tooltip="#_ФОРМА_7._АНКЕТА" w:anchor="_ФОРМА_7._АНКЕТА" w:history="1">
              <w:r>
                <w:rPr>
                  <w:rStyle w:val="1218"/>
                  <w:rFonts w:ascii="Times New Roman" w:hAnsi="Times New Roman" w:eastAsia="Times New Roman" w:cs="Times New Roman"/>
                  <w:sz w:val="24"/>
                  <w:szCs w:val="24"/>
                  <w:lang w:eastAsia="en-US"/>
                </w:rPr>
                <w:t xml:space="preserve">Анкета по форме, установленной в настоящей документации о закупке (часть III документации о закупке);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269"/>
              <w:numPr>
                <w:ilvl w:val="0"/>
                <w:numId w:val="30"/>
              </w:numPr>
              <w:ind w:left="0" w:firstLine="0"/>
              <w:spacing w:line="240" w:lineRule="auto"/>
              <w:tabs>
                <w:tab w:val="left" w:pos="383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hyperlink w:tooltip="#_ФОРМА_8._Декларация" w:anchor="_ФОРМА_8._Декларация" w:history="1">
              <w:r>
                <w:rPr>
                  <w:rStyle w:val="1218"/>
                  <w:rFonts w:ascii="Times New Roman" w:hAnsi="Times New Roman" w:eastAsia="Times New Roman" w:cs="Times New Roman"/>
                  <w:sz w:val="24"/>
                  <w:szCs w:val="24"/>
                  <w:lang w:eastAsia="en-US"/>
                </w:rPr>
                <w:t xml:space="preserve">Декларация о соответствии Участника закупки критериям отнесени</w:t>
              </w:r>
              <w:r>
                <w:rPr>
                  <w:rStyle w:val="1218"/>
                  <w:rFonts w:ascii="Times New Roman" w:hAnsi="Times New Roman" w:eastAsia="Times New Roman" w:cs="Times New Roman"/>
                  <w:sz w:val="24"/>
                  <w:szCs w:val="24"/>
                  <w:lang w:eastAsia="en-US"/>
                </w:rPr>
                <w:t xml:space="preserve">я к субъектам малого/среднего предпринимательства по установленной в настоящей документации о закупке форме - Декларация о соответствии Участника закупки критериям отнесения к субъектам малого/среднего предпринимательства (часть III документации о закупке)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 (предоставляется субъектами МСП в случае отсутствия сведений об Участнике закупки, который является вновь зарегистрированным индивидуальным предпринимателем или вновь созданным юридическим лицом в соответствии </w:t>
            </w:r>
            <w:hyperlink r:id="rId53" w:tooltip="https://www.consultant.ru/document/cons_doc_LAW_52144/08b3ecbcdc9a360ad1dc314150a6328886703356/?ysclid=lh8w3ol3mn827994503#dst100027" w:anchor="dst100027" w:history="1">
              <w:r>
                <w:rPr>
                  <w:rStyle w:val="1218"/>
                  <w:rFonts w:ascii="Times New Roman" w:hAnsi="Times New Roman" w:eastAsia="Times New Roman" w:cs="Times New Roman"/>
                  <w:sz w:val="24"/>
                  <w:szCs w:val="24"/>
                  <w:lang w:eastAsia="en-US"/>
                </w:rPr>
                <w:t xml:space="preserve">с частью 3 статьи 4 Федерального закона от 24.07.2007 № 209-ФЗ «О развитии малого и среднего предпринимательства в Российской Федерации»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, в едином реестре субъектов малого и среднего предпринимательства и при этом удовлетворяет критериям отнесения к субъектам малого и среднего предпринимательства);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269"/>
              <w:numPr>
                <w:ilvl w:val="0"/>
                <w:numId w:val="30"/>
              </w:numPr>
              <w:ind w:left="0" w:firstLine="0"/>
              <w:spacing w:line="240" w:lineRule="auto"/>
              <w:tabs>
                <w:tab w:val="left" w:pos="383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Сведения из Единого реестра субъектов малого и среднего предпринимательства, подтверждающие отнесение Участника к субъектам МСП, ведение которого осуществляется в соответствии с </w:t>
            </w:r>
            <w:hyperlink r:id="rId54" w:tooltip="https://www.consultant.ru/document/cons_doc_LAW_52144/" w:history="1">
              <w:r>
                <w:rPr>
                  <w:rStyle w:val="1218"/>
                  <w:rFonts w:ascii="Times New Roman" w:hAnsi="Times New Roman" w:eastAsia="Times New Roman" w:cs="Times New Roman"/>
                  <w:sz w:val="24"/>
                  <w:szCs w:val="24"/>
                  <w:lang w:eastAsia="en-US"/>
                </w:rPr>
                <w:t xml:space="preserve">Федеральным законом 24.07.2007 № 209-ФЗ «О развитии малого и среднего предпринимательства»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 (предоставляется в случае если Участник является субъектом малого или среднего предпринимательства);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269"/>
              <w:numPr>
                <w:ilvl w:val="0"/>
                <w:numId w:val="30"/>
              </w:numPr>
              <w:ind w:left="0" w:firstLine="0"/>
              <w:spacing w:line="240" w:lineRule="auto"/>
              <w:tabs>
                <w:tab w:val="left" w:pos="383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hyperlink w:tooltip="#_ФОРМА_9._Справка" w:anchor="_ФОРМА_9._Справка" w:history="1">
              <w:r>
                <w:rPr>
                  <w:rStyle w:val="1218"/>
                  <w:rFonts w:ascii="Times New Roman" w:hAnsi="Times New Roman" w:eastAsia="Times New Roman" w:cs="Times New Roman"/>
                  <w:sz w:val="24"/>
                  <w:szCs w:val="24"/>
                  <w:lang w:eastAsia="en-US"/>
                </w:rPr>
                <w:t xml:space="preserve">Справка о наличии конфликта интересов и/или связей, носящих характер аффилированности с сотрудниками Заказчика или Организатора закупки по форме, установленной в настоящей документации о закупке (часть III документации о закупке);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269"/>
              <w:numPr>
                <w:ilvl w:val="0"/>
                <w:numId w:val="30"/>
              </w:numPr>
              <w:ind w:left="0" w:firstLine="0"/>
              <w:spacing w:line="240" w:lineRule="auto"/>
              <w:tabs>
                <w:tab w:val="left" w:pos="383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hyperlink w:tooltip="#_ФОРМА_10._Справка" w:anchor="_ФОРМА_10._Справка" w:history="1">
              <w:r>
                <w:rPr>
                  <w:rStyle w:val="1218"/>
                  <w:rFonts w:ascii="Times New Roman" w:hAnsi="Times New Roman" w:eastAsia="Times New Roman" w:cs="Times New Roman"/>
                  <w:sz w:val="24"/>
                  <w:szCs w:val="24"/>
                  <w:lang w:eastAsia="en-US"/>
                </w:rPr>
                <w:t xml:space="preserve">Справка (информация) о собственниках Участника закупки (включая конечных бенефициаров) по форме, установленной в настоящей документации о закупке (часть III документации о закупке);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269"/>
              <w:numPr>
                <w:ilvl w:val="0"/>
                <w:numId w:val="30"/>
              </w:numPr>
              <w:ind w:left="0" w:firstLine="0"/>
              <w:spacing w:line="240" w:lineRule="auto"/>
              <w:tabs>
                <w:tab w:val="left" w:pos="383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hyperlink w:tooltip="#_ФОРМА_11._Согласие" w:anchor="_ФОРМА_11._Согласие" w:history="1">
              <w:r>
                <w:rPr>
                  <w:rStyle w:val="1218"/>
                  <w:rFonts w:ascii="Times New Roman" w:hAnsi="Times New Roman" w:eastAsia="Times New Roman" w:cs="Times New Roman"/>
                  <w:sz w:val="24"/>
                  <w:szCs w:val="24"/>
                  <w:lang w:eastAsia="en-US"/>
                </w:rPr>
                <w:t xml:space="preserve">Согласие на обработку персональных данных от собственников Участника </w:t>
              </w:r>
              <w:r>
                <w:rPr>
                  <w:rStyle w:val="1218"/>
                  <w:rFonts w:ascii="Times New Roman" w:hAnsi="Times New Roman" w:eastAsia="Times New Roman" w:cs="Times New Roman"/>
                  <w:sz w:val="24"/>
                  <w:szCs w:val="24"/>
                  <w:lang w:eastAsia="en-US"/>
                </w:rPr>
                <w:t xml:space="preserve">закупки</w:t>
              </w:r>
              <w:r>
                <w:rPr>
                  <w:rStyle w:val="1218"/>
                  <w:rFonts w:ascii="Times New Roman" w:hAnsi="Times New Roman" w:eastAsia="Times New Roman" w:cs="Times New Roman"/>
                  <w:sz w:val="24"/>
                  <w:szCs w:val="24"/>
                  <w:lang w:eastAsia="en-US"/>
                </w:rPr>
                <w:t xml:space="preserve"> (включая конечных бенефициаров) по форме, установленной в настоящей документации о закупке (часть III документации о закупке);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269"/>
              <w:numPr>
                <w:ilvl w:val="0"/>
                <w:numId w:val="30"/>
              </w:numPr>
              <w:ind w:left="0" w:firstLine="0"/>
              <w:spacing w:line="240" w:lineRule="auto"/>
              <w:tabs>
                <w:tab w:val="left" w:pos="383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hyperlink w:tooltip="#_ФОРМА_13._Антикоррупционные" w:anchor="_ФОРМА_13._Антикоррупционные" w:history="1">
              <w:r>
                <w:rPr>
                  <w:rStyle w:val="1218"/>
                  <w:rFonts w:ascii="Times New Roman" w:hAnsi="Times New Roman" w:eastAsia="Times New Roman" w:cs="Times New Roman"/>
                  <w:sz w:val="24"/>
                  <w:szCs w:val="24"/>
                  <w:lang w:eastAsia="en-US"/>
                </w:rPr>
                <w:t xml:space="preserve">Документ - Антикоррупционные обязательства по форме, установленной в настоящей документации о закупке (часть III документации о закупке);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269"/>
              <w:numPr>
                <w:ilvl w:val="0"/>
                <w:numId w:val="30"/>
              </w:numPr>
              <w:ind w:left="0" w:firstLine="0"/>
              <w:spacing w:line="240" w:lineRule="auto"/>
              <w:tabs>
                <w:tab w:val="left" w:pos="383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Документы и сведения,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 подтверждающие соответствие требованиям, установленным в соответствии с законодательством Российской Федерации к лицам, осуществляющим поставку товара, выполнение работы, оказание услуги, являющихся предметом закупки указанные в п.18 Информационной карты;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269"/>
              <w:numPr>
                <w:ilvl w:val="0"/>
                <w:numId w:val="30"/>
              </w:numPr>
              <w:ind w:left="0" w:firstLine="0"/>
              <w:spacing w:line="240" w:lineRule="auto"/>
              <w:tabs>
                <w:tab w:val="left" w:pos="383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Документы 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 сведения, подтверждающие соответствие иным отборочным критериям установленным в соответствии с   Приложением 1 к «Типовым требованиям к участникам закупок, критериям и порядку оценки  заявок участников закупок» Единого стандарта ПАО «Россети» указанные в </w:t>
            </w:r>
            <w:hyperlink w:tooltip="#_Документы_и_сведения," w:anchor="_Документы_и_сведения," w:history="1">
              <w:r>
                <w:rPr>
                  <w:rStyle w:val="1218"/>
                  <w:rFonts w:ascii="Times New Roman" w:hAnsi="Times New Roman" w:eastAsia="Times New Roman" w:cs="Times New Roman"/>
                  <w:sz w:val="24"/>
                  <w:szCs w:val="24"/>
                  <w:lang w:eastAsia="en-US"/>
                </w:rPr>
                <w:t xml:space="preserve">п.19 Информационной карты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269"/>
              <w:numPr>
                <w:ilvl w:val="0"/>
                <w:numId w:val="30"/>
              </w:numPr>
              <w:ind w:left="0" w:firstLine="0"/>
              <w:spacing w:line="240" w:lineRule="auto"/>
              <w:tabs>
                <w:tab w:val="left" w:pos="383" w:leader="none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Документы и сведения, необходимые для оценки заявки по неценовым критериям указанные в </w:t>
            </w:r>
            <w:hyperlink w:tooltip="#_Документы_и_сведения,_1" w:anchor="_Документы_и_сведения,_1" w:history="1">
              <w:r>
                <w:rPr>
                  <w:rStyle w:val="1218"/>
                  <w:rFonts w:ascii="Times New Roman" w:hAnsi="Times New Roman" w:eastAsia="Times New Roman" w:cs="Times New Roman"/>
                  <w:sz w:val="24"/>
                  <w:szCs w:val="24"/>
                  <w:lang w:eastAsia="en-US"/>
                </w:rPr>
                <w:t xml:space="preserve">п. 20 Информационной карты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en-US"/>
              </w:rPr>
              <w:t xml:space="preserve">(непредставление указанных документов и сведений не является основанием для отклонения заявки)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en-US"/>
              </w:rPr>
              <w:t xml:space="preserve">;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  <w:p>
            <w:pPr>
              <w:pStyle w:val="1269"/>
              <w:numPr>
                <w:ilvl w:val="0"/>
                <w:numId w:val="30"/>
              </w:numPr>
              <w:ind w:left="0" w:firstLine="0"/>
              <w:spacing w:line="240" w:lineRule="auto"/>
              <w:tabs>
                <w:tab w:val="left" w:pos="383" w:leader="none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В случае участия в закупке коллективного участника, заявка также должна содержать документы и сведения, предусмотренные пунктами </w:t>
            </w:r>
            <w:hyperlink w:tooltip="#_В_случае,_если" w:anchor="_В_случае,_если" w:history="1">
              <w:r>
                <w:rPr>
                  <w:rStyle w:val="1218"/>
                  <w:rFonts w:ascii="Times New Roman" w:hAnsi="Times New Roman" w:eastAsia="Times New Roman" w:cs="Times New Roman"/>
                  <w:sz w:val="24"/>
                  <w:szCs w:val="24"/>
                  <w:lang w:eastAsia="en-US"/>
                </w:rPr>
                <w:t xml:space="preserve">3.4.</w:t>
              </w:r>
            </w:hyperlink>
            <w:r>
              <w:rPr>
                <w:rStyle w:val="1218"/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, </w:t>
            </w:r>
            <w:hyperlink w:tooltip="#_В_случае,_если_1" w:anchor="_В_случае,_если_1" w:history="1">
              <w:r>
                <w:rPr>
                  <w:rStyle w:val="1218"/>
                  <w:rFonts w:ascii="Times New Roman" w:hAnsi="Times New Roman" w:eastAsia="Times New Roman" w:cs="Times New Roman"/>
                  <w:sz w:val="24"/>
                  <w:szCs w:val="24"/>
                  <w:lang w:eastAsia="en-US"/>
                </w:rPr>
                <w:t xml:space="preserve">3.4.</w:t>
              </w:r>
            </w:hyperlink>
            <w:r>
              <w:rPr>
                <w:rStyle w:val="1218"/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6</w:t>
            </w:r>
            <w:r>
              <w:rPr>
                <w:rStyle w:val="1218"/>
                <w:rFonts w:ascii="Times New Roman" w:hAnsi="Times New Roman" w:eastAsia="Times New Roman" w:cs="Times New Roman"/>
                <w:sz w:val="24"/>
                <w:szCs w:val="24"/>
                <w:u w:val="none"/>
                <w:lang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настоящей документации о закупке;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  <w:p>
            <w:pPr>
              <w:pStyle w:val="1269"/>
              <w:numPr>
                <w:ilvl w:val="0"/>
                <w:numId w:val="30"/>
              </w:numPr>
              <w:ind w:left="0" w:firstLine="0"/>
              <w:spacing w:line="240" w:lineRule="auto"/>
              <w:tabs>
                <w:tab w:val="left" w:pos="383" w:leader="none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en-US"/>
              </w:rPr>
              <w:t xml:space="preserve">Платежное поручение, подтверждающие факт перечисления денежных средств, внесенных на счет Заказчика в качестве обеспечения заявки на участие в закупке </w:t>
            </w:r>
            <w:r>
              <w:rPr>
                <w:rFonts w:ascii="Times New Roman" w:hAnsi="Times New Roman" w:eastAsia="Times New Roman" w:cs="Times New Roman"/>
                <w:bCs/>
                <w:i/>
                <w:color w:val="ff0000"/>
                <w:sz w:val="24"/>
                <w:szCs w:val="24"/>
                <w:lang w:eastAsia="en-US"/>
              </w:rPr>
              <w:t xml:space="preserve">(предоставляется в случае выбора Участником закупки обеспечения заявки в форме внесения денежных средств на счёт Заказчика);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  <w:p>
            <w:pPr>
              <w:pStyle w:val="1269"/>
              <w:numPr>
                <w:ilvl w:val="0"/>
                <w:numId w:val="30"/>
              </w:numPr>
              <w:ind w:left="0" w:firstLine="0"/>
              <w:spacing w:line="240" w:lineRule="auto"/>
              <w:tabs>
                <w:tab w:val="left" w:pos="383" w:leader="none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Независимая гарантия по обеспечению заявки на участие в закупке в соответствии с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частью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en-US"/>
              </w:rPr>
              <w:t xml:space="preserve">VII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 документации о закупке </w:t>
            </w:r>
            <w:r>
              <w:rPr>
                <w:rFonts w:ascii="Times New Roman" w:hAnsi="Times New Roman" w:eastAsia="Times New Roman" w:cs="Times New Roman"/>
                <w:i/>
                <w:color w:val="ff0000"/>
                <w:sz w:val="24"/>
                <w:szCs w:val="24"/>
                <w:lang w:eastAsia="en-US"/>
              </w:rPr>
              <w:t xml:space="preserve">(предоставляется в случае выбора Участником закупки обеспечения заявк</w:t>
            </w:r>
            <w:r>
              <w:rPr>
                <w:rFonts w:ascii="Times New Roman" w:hAnsi="Times New Roman" w:eastAsia="Times New Roman" w:cs="Times New Roman"/>
                <w:i/>
                <w:color w:val="ff0000"/>
                <w:sz w:val="24"/>
                <w:szCs w:val="24"/>
                <w:lang w:eastAsia="en-US"/>
              </w:rPr>
              <w:t xml:space="preserve">и в форме независимой гарантии).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567" w:type="dxa"/>
            <w:textDirection w:val="lrTb"/>
            <w:noWrap w:val="false"/>
          </w:tcPr>
          <w:p>
            <w:pPr>
              <w:pStyle w:val="1311"/>
              <w:numPr>
                <w:ilvl w:val="0"/>
                <w:numId w:val="28"/>
              </w:numPr>
              <w:contextualSpacing/>
              <w:ind w:hanging="828"/>
              <w:jc w:val="both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3544" w:type="dxa"/>
            <w:textDirection w:val="lrTb"/>
            <w:noWrap w:val="false"/>
          </w:tcPr>
          <w:p>
            <w:pPr>
              <w:pStyle w:val="1150"/>
              <w:ind w:left="0" w:hanging="13"/>
              <w:keepNext w:val="0"/>
              <w:spacing w:before="0" w:after="0" w:line="240" w:lineRule="auto"/>
              <w:tabs>
                <w:tab w:val="clear" w:pos="312" w:leader="none"/>
                <w:tab w:val="num" w:pos="630" w:leader="none"/>
              </w:tabs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Start w:id="219" w:name="_Соответствие_требованиям,_установле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End w:id="219"/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 xml:space="preserve">Документы, подтверждающие с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 xml:space="preserve">оответствие требованиям, установленным в соответствии с законодательством Российской Федерации к лицам, осуществляющим поставку товара, выполнение работы, оказание услуги, являющихся предметом закупки, а именно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6095" w:type="dxa"/>
            <w:textDirection w:val="lrTb"/>
            <w:noWrap w:val="false"/>
          </w:tcPr>
          <w:p>
            <w:pPr>
              <w:pStyle w:val="1269"/>
              <w:numPr>
                <w:ilvl w:val="0"/>
                <w:numId w:val="0"/>
              </w:numPr>
              <w:spacing w:line="240" w:lineRule="auto"/>
              <w:tabs>
                <w:tab w:val="left" w:pos="383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Не требуются.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567" w:type="dxa"/>
            <w:textDirection w:val="lrTb"/>
            <w:noWrap w:val="false"/>
          </w:tcPr>
          <w:p>
            <w:pPr>
              <w:pStyle w:val="1311"/>
              <w:numPr>
                <w:ilvl w:val="0"/>
                <w:numId w:val="28"/>
              </w:numPr>
              <w:contextualSpacing/>
              <w:ind w:hanging="828"/>
              <w:jc w:val="both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3544" w:type="dxa"/>
            <w:textDirection w:val="lrTb"/>
            <w:noWrap w:val="false"/>
          </w:tcPr>
          <w:p>
            <w:pPr>
              <w:pStyle w:val="1150"/>
              <w:ind w:left="0" w:hanging="13"/>
              <w:keepNext w:val="0"/>
              <w:spacing w:before="0" w:after="0" w:line="240" w:lineRule="auto"/>
              <w:tabs>
                <w:tab w:val="clear" w:pos="312" w:leader="none"/>
                <w:tab w:val="num" w:pos="630" w:leader="none"/>
              </w:tabs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Start w:id="220" w:name="_Документы_и_сведения,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End w:id="220"/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 xml:space="preserve">Документы и сведения, подтверждающие соответствие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 xml:space="preserve">иным отборочным критериям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 xml:space="preserve"> установленным в соответствии с   Приложением 1 к «Типовым требованиям к участникам закупок, критериям и порядку оценки  заявок участников закупок» Единого стандарта ПАО «Россети»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6095" w:type="dxa"/>
            <w:textDirection w:val="lrTb"/>
            <w:noWrap w:val="false"/>
          </w:tcPr>
          <w:p>
            <w:pPr>
              <w:pStyle w:val="1269"/>
              <w:numPr>
                <w:ilvl w:val="0"/>
                <w:numId w:val="30"/>
              </w:numPr>
              <w:ind w:left="0" w:firstLine="0"/>
              <w:spacing w:line="240" w:lineRule="auto"/>
              <w:tabs>
                <w:tab w:val="left" w:pos="383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</w:r>
            <w:hyperlink w:tooltip="#_ФОРМА_Справка_о_1" w:anchor="_ФОРМА_Справка_о_1" w:history="1">
              <w:r>
                <w:rPr>
                  <w:rFonts w:ascii="Times New Roman" w:hAnsi="Times New Roman" w:eastAsia="Times New Roman" w:cs="Times New Roman"/>
                  <w:color w:val="0000ff"/>
                  <w:sz w:val="24"/>
                  <w:szCs w:val="24"/>
                  <w:u w:val="single"/>
                </w:rPr>
                <w:t xml:space="preserve">Справка о перечне и объемах исполнения аналогичных договоров за 3 (три) последние года по форме, установленной в настоящей документации о закупке (часть III документации о закупке).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269"/>
              <w:numPr>
                <w:ilvl w:val="0"/>
                <w:numId w:val="30"/>
              </w:numPr>
              <w:ind w:left="0" w:firstLine="0"/>
              <w:spacing w:line="240" w:lineRule="auto"/>
              <w:tabs>
                <w:tab w:val="left" w:pos="383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Копии исполненных аналогичных договоров, включающих все приложения к таким договорам, все дополнительные соглашения к ним.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269"/>
              <w:numPr>
                <w:ilvl w:val="0"/>
                <w:numId w:val="30"/>
              </w:numPr>
              <w:ind w:left="0" w:firstLine="0"/>
              <w:spacing w:line="240" w:lineRule="auto"/>
              <w:tabs>
                <w:tab w:val="left" w:pos="383" w:leader="none"/>
                <w:tab w:val="clear" w:pos="13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пии а</w:t>
            </w:r>
            <w:hyperlink r:id="rId55" w:tooltip="https://www.consultant.ru/document/cons_doc_LAW_26303/dcaa7085e4a308d45f6b131e6506737ef9230c7c/?ysclid=lgx954x9qo716241051" w:history="1">
              <w:r>
                <w:rPr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ктов оказанных услуг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(форма в соответствии с условиями договора), с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одержащих все обязательные реквизиты, установленные </w:t>
            </w:r>
            <w:hyperlink r:id="rId56" w:tooltip="https://www.consultant.ru/document/cons_doc_LAW_122855/b24121ba7152f33673608559f2ca844ef5b6a74c/?ysclid=lgwbt56le8873077341" w:history="1">
              <w:r>
                <w:rPr>
                  <w:rFonts w:ascii="Times New Roman" w:hAnsi="Times New Roman" w:eastAsia="Times New Roman" w:cs="Times New Roman"/>
                  <w:color w:val="0000ff"/>
                  <w:sz w:val="24"/>
                  <w:szCs w:val="24"/>
                  <w:u w:val="single"/>
                </w:rPr>
                <w:t xml:space="preserve">частью 2 статьи 9 Федерального закона «О бухгалтерском учете» от 06.12.2011 № 402-ФЗ.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567" w:type="dxa"/>
            <w:textDirection w:val="lrTb"/>
            <w:noWrap w:val="false"/>
          </w:tcPr>
          <w:p>
            <w:pPr>
              <w:pStyle w:val="1311"/>
              <w:numPr>
                <w:ilvl w:val="0"/>
                <w:numId w:val="28"/>
              </w:numPr>
              <w:contextualSpacing/>
              <w:ind w:hanging="828"/>
              <w:jc w:val="both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3544" w:type="dxa"/>
            <w:textDirection w:val="lrTb"/>
            <w:noWrap w:val="false"/>
          </w:tcPr>
          <w:p>
            <w:pPr>
              <w:pStyle w:val="1150"/>
              <w:ind w:left="0" w:hanging="13"/>
              <w:keepNext w:val="0"/>
              <w:spacing w:before="0" w:after="0" w:line="240" w:lineRule="auto"/>
              <w:tabs>
                <w:tab w:val="clear" w:pos="312" w:leader="none"/>
                <w:tab w:val="num" w:pos="630" w:leader="none"/>
              </w:tabs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Start w:id="221" w:name="_Документы_и_сведения,_1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End w:id="221"/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 xml:space="preserve">Документы и сведения, необходимые для оценки заявки по неценовым критериям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6095" w:type="dxa"/>
            <w:textDirection w:val="lrTb"/>
            <w:noWrap w:val="false"/>
          </w:tcPr>
          <w:p>
            <w:pPr>
              <w:pStyle w:val="1269"/>
              <w:numPr>
                <w:ilvl w:val="0"/>
                <w:numId w:val="0"/>
              </w:numPr>
              <w:spacing w:line="240" w:lineRule="auto"/>
              <w:tabs>
                <w:tab w:val="left" w:pos="383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Документы и сведения, необходимые для оценки заявки по неценовым критериям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определены в </w:t>
            </w:r>
            <w:hyperlink w:tooltip="#_Приложение_№_1" w:anchor="_Приложение_№_1" w:history="1">
              <w:r>
                <w:rPr>
                  <w:rStyle w:val="1218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приложении № 1 к части II «ИНФОРМАЦИОННАЯ КАРТА ЗАКУПКИ»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567" w:type="dxa"/>
            <w:textDirection w:val="lrTb"/>
            <w:noWrap w:val="false"/>
          </w:tcPr>
          <w:p>
            <w:pPr>
              <w:pStyle w:val="1311"/>
              <w:numPr>
                <w:ilvl w:val="0"/>
                <w:numId w:val="28"/>
              </w:numPr>
              <w:contextualSpacing/>
              <w:ind w:hanging="828"/>
              <w:jc w:val="both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3544" w:type="dxa"/>
            <w:textDirection w:val="lrTb"/>
            <w:noWrap w:val="false"/>
          </w:tcPr>
          <w:p>
            <w:pPr>
              <w:pStyle w:val="1150"/>
              <w:ind w:left="0" w:hanging="13"/>
              <w:keepNext w:val="0"/>
              <w:spacing w:before="0" w:after="0" w:line="240" w:lineRule="auto"/>
              <w:tabs>
                <w:tab w:val="clear" w:pos="312" w:leader="none"/>
                <w:tab w:val="num" w:pos="630" w:leader="none"/>
              </w:tabs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Start w:id="222" w:name="_Размер_обеспечения_исполнения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Start w:id="223" w:name="Par67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End w:id="222"/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 xml:space="preserve">Размер обеспечения исполнения договора, срок и порядок его предоставления</w:t>
            </w:r>
            <w:bookmarkEnd w:id="223"/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6095" w:type="dxa"/>
            <w:textDirection w:val="lrTb"/>
            <w:noWrap w:val="false"/>
          </w:tcPr>
          <w:p>
            <w:pPr>
              <w:keepLines/>
              <w:keepNext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  <w:outlineLvl w:val="2"/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Требование об обеспечении исполнения договора не установлено.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  <w:p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Обеспечение исполнения обязательств только в случае подачи участником закупки, признанным победителем, аномально низкого ценового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(предложение на 25 и более процентов ниже начальной (максимальной) цены договора (цены лота)/начальной суммы цен единиц товара (работы, услуги).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При этом, в случае подачи участником аномально низкого ценового предложения, применяется антидемпинговые меры, предусмотренные </w:t>
            </w:r>
            <w:hyperlink w:tooltip="#_Порядок_действий,_осуществляемых_1" w:anchor="_Порядок_действий,_осуществляемых_1" w:history="1">
              <w:r>
                <w:rPr>
                  <w:rFonts w:ascii="Times New Roman" w:hAnsi="Times New Roman" w:eastAsia="Times New Roman" w:cs="Times New Roman"/>
                  <w:color w:val="0000ff"/>
                  <w:sz w:val="24"/>
                  <w:szCs w:val="24"/>
                  <w:u w:val="single"/>
                </w:rPr>
                <w:t xml:space="preserve">п. 3.7 части I «ОБЩИЕ УСЛОВИЯ ПРОВЕДЕНИЯ ЗАКУПКИ».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567" w:type="dxa"/>
            <w:textDirection w:val="lrTb"/>
            <w:noWrap w:val="false"/>
          </w:tcPr>
          <w:p>
            <w:pPr>
              <w:pStyle w:val="1311"/>
              <w:numPr>
                <w:ilvl w:val="0"/>
                <w:numId w:val="28"/>
              </w:numPr>
              <w:contextualSpacing/>
              <w:ind w:hanging="828"/>
              <w:jc w:val="both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3544" w:type="dxa"/>
            <w:textDirection w:val="lrTb"/>
            <w:noWrap w:val="false"/>
          </w:tcPr>
          <w:p>
            <w:pPr>
              <w:pStyle w:val="1150"/>
              <w:ind w:left="0" w:hanging="13"/>
              <w:keepNext w:val="0"/>
              <w:spacing w:before="0" w:after="0" w:line="240" w:lineRule="auto"/>
              <w:tabs>
                <w:tab w:val="clear" w:pos="312" w:leader="none"/>
                <w:tab w:val="num" w:pos="630" w:leader="none"/>
              </w:tabs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 xml:space="preserve">Критерии и порядок оценки и сопоставления заявок на участие в закупке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6095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</w:t>
            </w:r>
            <w:hyperlink w:tooltip="#_Приложение_№_1" w:anchor="_Приложение_№_1" w:history="1">
              <w:r>
                <w:rPr>
                  <w:rStyle w:val="1218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приложении № 1 к части II «ИНФОРМАЦИОННАЯ КАРТА ЗАКУПКИ»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567" w:type="dxa"/>
            <w:textDirection w:val="lrTb"/>
            <w:noWrap w:val="false"/>
          </w:tcPr>
          <w:p>
            <w:pPr>
              <w:pStyle w:val="1311"/>
              <w:numPr>
                <w:ilvl w:val="0"/>
                <w:numId w:val="28"/>
              </w:numPr>
              <w:contextualSpacing/>
              <w:ind w:hanging="828"/>
              <w:jc w:val="both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3544" w:type="dxa"/>
            <w:textDirection w:val="lrTb"/>
            <w:noWrap w:val="false"/>
          </w:tcPr>
          <w:p>
            <w:pPr>
              <w:pStyle w:val="1150"/>
              <w:ind w:left="0" w:hanging="13"/>
              <w:keepNext w:val="0"/>
              <w:spacing w:before="0" w:after="0" w:line="240" w:lineRule="auto"/>
              <w:tabs>
                <w:tab w:val="clear" w:pos="312" w:leader="none"/>
                <w:tab w:val="num" w:pos="630" w:leader="none"/>
              </w:tabs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Start w:id="224" w:name="_Право_заказчика_заключить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End w:id="224"/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 xml:space="preserve">Право заказчика заключить договор с несколькими участниками закупки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6095" w:type="dxa"/>
            <w:textDirection w:val="lrTb"/>
            <w:noWrap w:val="false"/>
          </w:tcPr>
          <w:p>
            <w:pPr>
              <w:keepLines/>
              <w:keepNext/>
              <w:spacing w:after="0" w:line="240" w:lineRule="auto"/>
              <w:widowControl w:val="off"/>
              <w:rPr>
                <w:rFonts w:ascii="Times New Roman" w:hAnsi="Times New Roman" w:cs="Times New Roman"/>
                <w:i/>
                <w:sz w:val="24"/>
                <w:szCs w:val="24"/>
              </w:rPr>
              <w:suppressLineNumbers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Не предусмотрено.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pStyle w:val="1311"/>
              <w:ind w:left="0"/>
              <w:jc w:val="both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567" w:type="dxa"/>
            <w:textDirection w:val="lrTb"/>
            <w:noWrap w:val="false"/>
          </w:tcPr>
          <w:p>
            <w:pPr>
              <w:pStyle w:val="1311"/>
              <w:numPr>
                <w:ilvl w:val="0"/>
                <w:numId w:val="28"/>
              </w:numPr>
              <w:contextualSpacing/>
              <w:ind w:hanging="828"/>
              <w:jc w:val="both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3544" w:type="dxa"/>
            <w:textDirection w:val="lrTb"/>
            <w:noWrap w:val="false"/>
          </w:tcPr>
          <w:p>
            <w:pPr>
              <w:pStyle w:val="1150"/>
              <w:ind w:left="0" w:hanging="13"/>
              <w:keepNext w:val="0"/>
              <w:spacing w:before="0" w:after="0" w:line="240" w:lineRule="auto"/>
              <w:tabs>
                <w:tab w:val="clear" w:pos="312" w:leader="none"/>
                <w:tab w:val="num" w:pos="630" w:leader="none"/>
              </w:tabs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 xml:space="preserve">Сведения о возможности одностороннего отказа от исполнения обязательств, предусмотренных договором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6095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Односторонний отказ от исполнения договора возможен в порядке, установленном в проекте договора.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</w:tc>
      </w:tr>
    </w:tbl>
    <w:p>
      <w:pPr>
        <w:ind w:firstLine="567"/>
      </w:pPr>
      <w:r/>
      <w:r/>
    </w:p>
    <w:p>
      <w:pPr>
        <w:ind w:firstLine="567"/>
      </w:pPr>
      <w:r/>
      <w:r/>
    </w:p>
    <w:p>
      <w:pPr>
        <w:ind w:firstLine="567"/>
      </w:pPr>
      <w:r/>
      <w:r/>
    </w:p>
    <w:p>
      <w:pPr>
        <w:ind w:firstLine="567"/>
      </w:pPr>
      <w:r/>
      <w:r/>
    </w:p>
    <w:p>
      <w:pPr>
        <w:ind w:firstLine="567"/>
      </w:pPr>
      <w:r/>
      <w:r/>
    </w:p>
    <w:p>
      <w:pPr>
        <w:ind w:firstLine="567"/>
        <w:jc w:val="right"/>
        <w:spacing w:after="0"/>
        <w:rPr>
          <w:b/>
          <w:bCs/>
        </w:rPr>
      </w:pPr>
      <w:r>
        <w:rPr>
          <w:b/>
          <w:bCs/>
        </w:rPr>
        <w:br w:type="page" w:clear="all"/>
      </w:r>
      <w:r>
        <w:rPr>
          <w:b/>
          <w:bCs/>
        </w:rPr>
      </w:r>
      <w:r>
        <w:rPr>
          <w:b/>
          <w:bCs/>
        </w:rPr>
      </w:r>
    </w:p>
    <w:p>
      <w:pPr>
        <w:pStyle w:val="1150"/>
        <w:jc w:val="right"/>
        <w:rPr>
          <w:rFonts w:ascii="Times New Roman" w:hAnsi="Times New Roman" w:cs="Times New Roman"/>
        </w:rPr>
        <w:sectPr>
          <w:footerReference w:type="default" r:id="rId9"/>
          <w:footnotePr/>
          <w:endnotePr/>
          <w:type w:val="nextPage"/>
          <w:pgSz w:w="11906" w:h="16838" w:orient="portrait"/>
          <w:pgMar w:top="902" w:right="567" w:bottom="1077" w:left="1134" w:header="709" w:footer="709" w:gutter="0"/>
          <w:cols w:num="1" w:sep="0" w:space="708" w:equalWidth="1"/>
          <w:docGrid w:linePitch="360"/>
          <w:titlePg/>
        </w:sect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1150"/>
        <w:jc w:val="right"/>
        <w:rPr>
          <w:rFonts w:ascii="Times New Roman" w:hAnsi="Times New Roman" w:cs="Times New Roman"/>
        </w:rPr>
      </w:pPr>
      <w:r/>
      <w:bookmarkStart w:id="225" w:name="_Приложение_№_1"/>
      <w:r/>
      <w:bookmarkEnd w:id="225"/>
      <w:r>
        <w:rPr>
          <w:rFonts w:ascii="Times New Roman" w:hAnsi="Times New Roman" w:cs="Times New Roman"/>
        </w:rPr>
        <w:t xml:space="preserve">Приложение № 1 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right"/>
        <w:rPr>
          <w:b/>
        </w:rPr>
      </w:pPr>
      <w:r>
        <w:rPr>
          <w:b/>
        </w:rPr>
        <w:t xml:space="preserve">к части II «ИНФОРМАЦИОННАЯ КАРТА ЗАКУПКИ» </w:t>
      </w:r>
      <w:r>
        <w:rPr>
          <w:b/>
        </w:rPr>
      </w:r>
      <w:r>
        <w:rPr>
          <w:b/>
        </w:rPr>
      </w:r>
    </w:p>
    <w:p>
      <w:pPr>
        <w:contextualSpacing/>
        <w:ind w:firstLine="200"/>
        <w:keepLines/>
        <w:spacing w:before="120" w:after="120"/>
      </w:pPr>
      <w:r/>
      <w:r/>
    </w:p>
    <w:p>
      <w:pPr>
        <w:numPr>
          <w:ilvl w:val="0"/>
          <w:numId w:val="7"/>
        </w:numPr>
        <w:contextualSpacing/>
        <w:ind w:left="0" w:firstLine="567"/>
        <w:keepLines/>
        <w:spacing w:after="0"/>
      </w:pPr>
      <w:r>
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</w:t>
      </w:r>
      <w:r/>
    </w:p>
    <w:tbl>
      <w:tblPr>
        <w:tblW w:w="15168" w:type="dxa"/>
        <w:tblInd w:w="-8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642"/>
        <w:gridCol w:w="2477"/>
        <w:gridCol w:w="1701"/>
        <w:gridCol w:w="1701"/>
        <w:gridCol w:w="8647"/>
      </w:tblGrid>
      <w:tr>
        <w:tblPrEx/>
        <w:trPr/>
        <w:tc>
          <w:tcPr>
            <w:tcW w:w="642" w:type="dxa"/>
            <w:textDirection w:val="lrTb"/>
            <w:noWrap w:val="false"/>
          </w:tcPr>
          <w:p>
            <w:pPr>
              <w:ind w:firstLine="12"/>
              <w:jc w:val="center"/>
              <w:spacing w:after="0" w:line="240" w:lineRule="auto"/>
              <w:widowControl w:val="off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N п/п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247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Критерии (подкритерии) оценки заявки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Весовое значение критерия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Максимальный выставляемый балл (без учета весового коэффициента)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864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Порядок оценки по критерию, в том числе с указанием необходимых подтверждающих сведений и документов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</w:tr>
      <w:tr>
        <w:tblPrEx/>
        <w:trPr>
          <w:trHeight w:val="567"/>
        </w:trPr>
        <w:tc>
          <w:tcPr>
            <w:tcW w:w="642" w:type="dxa"/>
            <w:textDirection w:val="lrTb"/>
            <w:noWrap w:val="false"/>
          </w:tcPr>
          <w:p>
            <w:pPr>
              <w:ind w:firstLine="12"/>
              <w:jc w:val="center"/>
              <w:spacing w:after="0" w:line="240" w:lineRule="auto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477" w:type="dxa"/>
            <w:textDirection w:val="lrTb"/>
            <w:noWrap w:val="false"/>
          </w:tcPr>
          <w:p>
            <w:pPr>
              <w:pStyle w:val="1285"/>
              <w:ind w:firstLine="0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Критерий 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  <w:p>
            <w:pPr>
              <w:pStyle w:val="1285"/>
              <w:ind w:firstLine="0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Цена договора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1285"/>
              <w:ind w:firstLine="0"/>
              <w:jc w:val="center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70%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1285"/>
              <w:ind w:firstLine="13"/>
              <w:jc w:val="center"/>
              <w:spacing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100</w:t>
            </w: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r>
          </w:p>
        </w:tc>
        <w:tc>
          <w:tcPr>
            <w:tcW w:w="8647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 оценке Заявок по критерию </w:t>
            </w:r>
            <w:r>
              <w:rPr>
                <w:b/>
                <w:sz w:val="24"/>
                <w:szCs w:val="24"/>
              </w:rPr>
              <w:t xml:space="preserve">«Цена договора»</w:t>
            </w:r>
            <w:r>
              <w:rPr>
                <w:sz w:val="24"/>
                <w:szCs w:val="24"/>
              </w:rPr>
              <w:t xml:space="preserve"> лучшей признается Заявка с наименьшей </w:t>
            </w:r>
            <w:r>
              <w:rPr>
                <w:b/>
                <w:color w:val="ff0000"/>
                <w:sz w:val="24"/>
                <w:szCs w:val="24"/>
              </w:rPr>
              <w:t xml:space="preserve">условной</w:t>
            </w:r>
            <w:r>
              <w:rPr>
                <w:color w:val="ff000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ценой заявки.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spacing w:after="0" w:line="240" w:lineRule="auto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spacing w:after="0" w:line="240" w:lineRule="auto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Рейтинг ЦБ</w:t>
            </w:r>
            <w:r>
              <w:rPr>
                <w:sz w:val="24"/>
                <w:szCs w:val="24"/>
                <w:vertAlign w:val="subscript"/>
                <w:lang w:val="fr-FR"/>
              </w:rPr>
              <w:t xml:space="preserve">i</w:t>
            </w:r>
            <w:r>
              <w:rPr>
                <w:sz w:val="24"/>
                <w:szCs w:val="24"/>
                <w:vertAlign w:val="subscript"/>
              </w:rPr>
              <w:t xml:space="preserve"> </w:t>
            </w:r>
            <w:r>
              <w:rPr>
                <w:sz w:val="24"/>
                <w:szCs w:val="24"/>
              </w:rPr>
              <w:t xml:space="preserve">определяется в баллах по следующей формуле: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spacing w:after="0" w:line="240" w:lineRule="auto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center"/>
              <w:spacing w:after="0" w:line="240" w:lineRule="auto"/>
              <w:widowControl w:val="off"/>
              <w:rPr>
                <w:highlight w:val="yellow"/>
              </w:rPr>
            </w:pPr>
            <w:r>
              <w:rPr>
                <w:position w:val="-26"/>
                <w:sz w:val="24"/>
                <w:szCs w:val="24"/>
              </w:rPr>
            </w:r>
            <w:r>
              <w:rPr>
                <w:position w:val="-26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1143000" cy="476250"/>
                      <wp:effectExtent l="0" t="0" r="0" b="0"/>
                      <wp:docPr id="1" name="Рисунок 1" descr="base_1_207240_32768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030781652" name="Picture 4" descr="base_1_207240_32768"/>
                              <pic:cNvPicPr>
                                <a:picLocks noChangeArrowheads="1"/>
                              </pic:cNvPicPr>
                              <pic:nvPr/>
                            </pic:nvPicPr>
                            <pic:blipFill>
                              <a:blip r:embed="rId57"/>
                              <a:stretch/>
                            </pic:blipFill>
                            <pic:spPr bwMode="auto">
                              <a:xfrm rot="0" flipH="0" flipV="0">
                                <a:off x="0" y="0"/>
                                <a:ext cx="1143000" cy="476249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90.00pt;height:37.50pt;mso-wrap-distance-left:0.00pt;mso-wrap-distance-top:0.00pt;mso-wrap-distance-right:0.00pt;mso-wrap-distance-bottom:0.00pt;rotation:0;" stroked="f">
                      <v:path textboxrect="0,0,0,0"/>
                      <v:imagedata r:id="rId57" o:title=""/>
                    </v:shape>
                  </w:pict>
                </mc:Fallback>
              </mc:AlternateContent>
            </w:r>
            <w:r/>
            <w:r>
              <w:rPr>
                <w:position w:val="-26"/>
                <w:sz w:val="24"/>
                <w:szCs w:val="24"/>
              </w:rPr>
            </w:r>
            <w:r>
              <w:rPr>
                <w:position w:val="-26"/>
                <w:sz w:val="24"/>
                <w:szCs w:val="24"/>
              </w:rPr>
            </w:r>
            <w:r>
              <w:rPr>
                <w:position w:val="-26"/>
                <w:sz w:val="24"/>
                <w:szCs w:val="24"/>
              </w:rPr>
            </w:r>
            <w:r>
              <w:rPr>
                <w:position w:val="-26"/>
                <w:sz w:val="24"/>
                <w:szCs w:val="24"/>
              </w:rPr>
            </w:r>
            <w:r>
              <w:rPr>
                <w:position w:val="-26"/>
                <w:sz w:val="24"/>
                <w:szCs w:val="24"/>
              </w:rPr>
            </w:r>
            <w:r>
              <w:rPr>
                <w:sz w:val="24"/>
                <w:szCs w:val="24"/>
                <w:highlight w:val="yellow"/>
              </w:rPr>
            </w:r>
            <w:r>
              <w:rPr>
                <w:highlight w:val="yellow"/>
              </w:rPr>
            </w:r>
          </w:p>
          <w:p>
            <w:pPr>
              <w:spacing w:after="0" w:line="240" w:lineRule="auto"/>
              <w:widowControl w:val="off"/>
              <w:rPr>
                <w:highlight w:val="yellow"/>
              </w:rPr>
            </w:pPr>
            <w:r>
              <w:rPr>
                <w:sz w:val="24"/>
                <w:szCs w:val="24"/>
                <w:highlight w:val="yellow"/>
              </w:rPr>
            </w:r>
            <w:r>
              <w:rPr>
                <w:sz w:val="24"/>
                <w:szCs w:val="24"/>
                <w:highlight w:val="yellow"/>
              </w:rPr>
            </w:r>
            <w:r>
              <w:rPr>
                <w:highlight w:val="yellow"/>
              </w:rPr>
            </w:r>
          </w:p>
          <w:p>
            <w:pPr>
              <w:spacing w:after="0" w:line="240" w:lineRule="auto"/>
              <w:widowControl w:val="off"/>
              <w:rPr>
                <w:i/>
              </w:rPr>
            </w:pPr>
            <w:r>
              <w:rPr>
                <w:i/>
                <w:sz w:val="24"/>
                <w:szCs w:val="24"/>
              </w:rPr>
              <w:t xml:space="preserve">где:</w:t>
            </w:r>
            <w:r>
              <w:rPr>
                <w:i/>
                <w:sz w:val="24"/>
                <w:szCs w:val="24"/>
              </w:rPr>
            </w:r>
            <w:r>
              <w:rPr>
                <w:i/>
              </w:rPr>
            </w:r>
          </w:p>
          <w:p>
            <w:pPr>
              <w:spacing w:after="0" w:line="240" w:lineRule="auto"/>
              <w:widowControl w:val="off"/>
              <w:rPr>
                <w:highlight w:val="yellow"/>
              </w:rPr>
            </w:pPr>
            <w:r>
              <w:rPr>
                <w:sz w:val="24"/>
                <w:szCs w:val="24"/>
              </w:rPr>
              <w:t xml:space="preserve">Ц</w:t>
            </w:r>
            <w:r>
              <w:rPr>
                <w:sz w:val="24"/>
                <w:szCs w:val="24"/>
                <w:vertAlign w:val="subscript"/>
              </w:rPr>
              <w:t xml:space="preserve">i</w:t>
            </w:r>
            <w:r>
              <w:rPr>
                <w:sz w:val="24"/>
                <w:szCs w:val="24"/>
              </w:rPr>
              <w:t xml:space="preserve"> - </w:t>
            </w:r>
            <w:r>
              <w:rPr>
                <w:b/>
                <w:color w:val="ff0000"/>
                <w:sz w:val="24"/>
                <w:szCs w:val="24"/>
              </w:rPr>
              <w:t xml:space="preserve">условная</w:t>
            </w:r>
            <w:r>
              <w:rPr>
                <w:color w:val="ff000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цена </w:t>
            </w:r>
            <w:r>
              <w:rPr>
                <w:sz w:val="24"/>
                <w:szCs w:val="24"/>
                <w:lang w:val="en-US"/>
              </w:rPr>
              <w:t xml:space="preserve">i</w:t>
            </w:r>
            <w:r>
              <w:rPr>
                <w:sz w:val="24"/>
                <w:szCs w:val="24"/>
              </w:rPr>
              <w:t xml:space="preserve">-го Участника закупки, (предложение) которого оценивается.</w:t>
            </w:r>
            <w:r>
              <w:rPr>
                <w:sz w:val="24"/>
                <w:szCs w:val="24"/>
                <w:highlight w:val="yellow"/>
              </w:rPr>
            </w:r>
            <w:r>
              <w:rPr>
                <w:highlight w:val="yellow"/>
              </w:rPr>
            </w:r>
          </w:p>
          <w:p>
            <w:pPr>
              <w:spacing w:after="0" w:line="240" w:lineRule="auto"/>
              <w:widowControl w:val="off"/>
              <w:rPr>
                <w:highlight w:val="yellow"/>
              </w:rPr>
            </w:pPr>
            <w:r>
              <w:rPr>
                <w:sz w:val="24"/>
                <w:szCs w:val="24"/>
                <w:highlight w:val="yellow"/>
              </w:rPr>
            </w:r>
            <w:r>
              <w:rPr>
                <w:sz w:val="24"/>
                <w:szCs w:val="24"/>
                <w:highlight w:val="yellow"/>
              </w:rPr>
            </w:r>
            <w:r>
              <w:rPr>
                <w:highlight w:val="yellow"/>
              </w:rPr>
            </w:r>
          </w:p>
          <w:p>
            <w:pPr>
              <w:spacing w:after="0" w:line="240" w:lineRule="auto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Ц</w:t>
            </w:r>
            <w:r>
              <w:rPr>
                <w:sz w:val="24"/>
                <w:szCs w:val="24"/>
                <w:vertAlign w:val="subscript"/>
              </w:rPr>
              <w:t xml:space="preserve">min</w:t>
            </w:r>
            <w:r>
              <w:rPr>
                <w:sz w:val="24"/>
                <w:szCs w:val="24"/>
              </w:rPr>
              <w:t xml:space="preserve"> – минимальная </w:t>
            </w:r>
            <w:r>
              <w:rPr>
                <w:b/>
                <w:color w:val="ff0000"/>
                <w:sz w:val="24"/>
                <w:szCs w:val="24"/>
              </w:rPr>
              <w:t xml:space="preserve">условная</w:t>
            </w:r>
            <w:r>
              <w:rPr>
                <w:color w:val="ff000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цена из предложений, сделанных участниками закупки, заявки которых признаны соответствующими установленных отборочным требованиям.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spacing w:after="0" w:line="240" w:lineRule="auto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spacing w:after="0" w:line="240" w:lineRule="auto"/>
              <w:widowControl w:val="off"/>
              <w:rPr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 xml:space="preserve">Условная</w:t>
            </w:r>
            <w:r>
              <w:rPr>
                <w:color w:val="ff000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цена предложений рассчитывается исходя из условного объема, указанного в сводной таблице стоимости (Приложение №3 к настоящей документации), умноженного </w:t>
            </w:r>
            <w:r>
              <w:rPr>
                <w:sz w:val="24"/>
                <w:szCs w:val="24"/>
              </w:rPr>
              <w:t xml:space="preserve">на размер агентского вознаграждения </w:t>
            </w:r>
            <w:r>
              <w:rPr>
                <w:sz w:val="24"/>
                <w:szCs w:val="24"/>
              </w:rPr>
              <w:t xml:space="preserve">(% от стоимости оказанных услуг).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spacing w:after="0" w:line="240" w:lineRule="auto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spacing w:after="0" w:line="240" w:lineRule="auto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Полученное значение ЦБ</w:t>
            </w:r>
            <w:r>
              <w:rPr>
                <w:sz w:val="24"/>
                <w:szCs w:val="24"/>
                <w:vertAlign w:val="subscript"/>
                <w:lang w:val="fr-FR"/>
              </w:rPr>
              <w:t xml:space="preserve">i</w:t>
            </w:r>
            <w:r>
              <w:rPr>
                <w:sz w:val="24"/>
                <w:szCs w:val="24"/>
              </w:rPr>
              <w:t xml:space="preserve"> является балльной оценкой по ценовому критерию и учитывается при расчете итогового рейтинга заявки участника, с учетом весового коэффициента.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spacing w:after="0" w:line="240" w:lineRule="auto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285"/>
              <w:ind w:firstLine="0"/>
              <w:jc w:val="both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Договор с победителем закупки заключается по начальной (максимальной) цене договора (лота), установленной в </w:t>
            </w:r>
            <w:hyperlink w:tooltip="#_Сведения_о_начальной" w:anchor="_Сведения_о_начальной" w:history="1">
              <w:r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 xml:space="preserve">п. 7 раздела </w:t>
              </w:r>
              <w:r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  <w:lang w:val="en-US"/>
                </w:rPr>
                <w:t xml:space="preserve">II</w:t>
              </w:r>
              <w:r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 xml:space="preserve"> ИНФОРМАЦИОННАЯ КАРТА ЗАКУПКИ</w:t>
              </w:r>
            </w:hyperlink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с включением в договор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размера сервисного сбора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(% от стоимости оказанных услуг)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285"/>
              <w:ind w:firstLine="0"/>
              <w:jc w:val="both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widowControl w:val="off"/>
              <w:rPr>
                <w:color w:val="0000ff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hyperlink w:tooltip="#_ФОРМА_КОММЕРЧЕСКОЕ_ПРЕДЛОЖЕНИЕ" w:anchor="_ФОРМА_КОММЕРЧЕСКОЕ_ПРЕДЛОЖЕНИЕ" w:history="1">
              <w:r>
                <w:rPr>
                  <w:color w:val="0000ff"/>
                  <w:sz w:val="24"/>
                  <w:szCs w:val="24"/>
                  <w:u w:val="single"/>
                </w:rPr>
                <w:t xml:space="preserve">Для расчета оценки (рейтинга) i-й заявки по критерию «Цена договора» участнику необходимо заполнить Коммерческое предложение по форме и в соответствии с </w:t>
              </w:r>
              <w:r>
                <w:rPr>
                  <w:color w:val="0000ff"/>
                  <w:sz w:val="24"/>
                  <w:szCs w:val="24"/>
                  <w:u w:val="single"/>
                </w:rPr>
                <w:t xml:space="preserve">инструкциями, приведенными в настоящей документации о закупке (часть III документации о закупке))</w:t>
              </w:r>
            </w:hyperlink>
            <w:r>
              <w:rPr>
                <w:color w:val="0000ff"/>
                <w:sz w:val="24"/>
                <w:szCs w:val="24"/>
              </w:rPr>
              <w:t xml:space="preserve">. </w:t>
            </w:r>
            <w:r>
              <w:rPr>
                <w:color w:val="0000ff"/>
                <w:sz w:val="24"/>
                <w:szCs w:val="24"/>
              </w:rPr>
            </w:r>
            <w:r>
              <w:rPr>
                <w:color w:val="0000ff"/>
                <w:sz w:val="24"/>
                <w:szCs w:val="24"/>
              </w:rPr>
            </w:r>
          </w:p>
          <w:p>
            <w:pPr>
              <w:spacing w:after="0" w:line="240" w:lineRule="auto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spacing w:after="0" w:line="240" w:lineRule="auto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green"/>
              </w:rPr>
              <w:t xml:space="preserve">Если </w:t>
            </w:r>
            <w:r>
              <w:rPr>
                <w:sz w:val="24"/>
                <w:szCs w:val="24"/>
                <w:highlight w:val="green"/>
              </w:rPr>
              <w:t xml:space="preserve">в </w:t>
            </w:r>
            <w:hyperlink w:tooltip="#_Сведения_о_предоставлении" w:anchor="_Сведения_о_предоставлении" w:history="1">
              <w:r>
                <w:rPr>
                  <w:rStyle w:val="1218"/>
                  <w:sz w:val="24"/>
                  <w:szCs w:val="24"/>
                  <w:highlight w:val="green"/>
                </w:rPr>
                <w:t xml:space="preserve">пункте 12 части II «ИНФОРМАЦИОНОЙ КАРТЫ ЗАКУПКИ»</w:t>
              </w:r>
            </w:hyperlink>
            <w:r>
              <w:rPr>
                <w:color w:val="ff0000"/>
                <w:sz w:val="24"/>
                <w:szCs w:val="24"/>
                <w:highlight w:val="green"/>
              </w:rPr>
              <w:t xml:space="preserve"> </w:t>
            </w:r>
            <w:r>
              <w:rPr>
                <w:sz w:val="24"/>
                <w:szCs w:val="24"/>
                <w:highlight w:val="green"/>
              </w:rPr>
              <w:t xml:space="preserve">установлено преимущество</w:t>
            </w:r>
            <w:r>
              <w:rPr>
                <w:sz w:val="24"/>
                <w:szCs w:val="24"/>
                <w:highlight w:val="green"/>
              </w:rPr>
              <w:t xml:space="preserve"> для товаров российского происхождения</w:t>
            </w:r>
            <w:r>
              <w:rPr>
                <w:sz w:val="24"/>
                <w:szCs w:val="24"/>
                <w:highlight w:val="green"/>
              </w:rPr>
              <w:t xml:space="preserve"> в соответствии с требованиями </w:t>
            </w:r>
            <w:hyperlink r:id="rId58" w:tooltip="https://www.consultant.ru/document/cons_doc_LAW_494318/92d969e26a4326c5d02fa79b8f9cf4994ee5633b/" w:history="1">
              <w:r>
                <w:rPr>
                  <w:rStyle w:val="1218"/>
                  <w:sz w:val="24"/>
                  <w:szCs w:val="24"/>
                  <w:highlight w:val="green"/>
                </w:rPr>
                <w:t xml:space="preserve">постановления Правительства РФ от 23.12.2024 № 1875</w:t>
              </w:r>
            </w:hyperlink>
            <w:r>
              <w:rPr>
                <w:sz w:val="24"/>
                <w:szCs w:val="24"/>
                <w:highlight w:val="green"/>
              </w:rPr>
              <w:t xml:space="preserve"> в отношении товаров российского происхождения, </w:t>
            </w:r>
            <w:r>
              <w:rPr>
                <w:bCs/>
                <w:sz w:val="24"/>
                <w:szCs w:val="24"/>
                <w:highlight w:val="green"/>
              </w:rPr>
              <w:t xml:space="preserve">по отношению к товарам</w:t>
            </w:r>
            <w:r>
              <w:rPr>
                <w:sz w:val="24"/>
                <w:szCs w:val="24"/>
                <w:highlight w:val="green"/>
              </w:rPr>
              <w:t xml:space="preserve"> </w:t>
            </w:r>
            <w:r>
              <w:rPr>
                <w:bCs/>
                <w:sz w:val="24"/>
                <w:szCs w:val="24"/>
                <w:highlight w:val="green"/>
              </w:rPr>
              <w:t xml:space="preserve">происходящим из иностранного государства, то при расчете по ценовому критерию </w:t>
            </w:r>
            <w:r>
              <w:rPr>
                <w:sz w:val="24"/>
                <w:szCs w:val="24"/>
                <w:highlight w:val="green"/>
              </w:rPr>
              <w:t xml:space="preserve">для целей оценки ценовое предложение участников предл</w:t>
            </w:r>
            <w:r>
              <w:rPr>
                <w:sz w:val="24"/>
                <w:szCs w:val="24"/>
                <w:highlight w:val="green"/>
              </w:rPr>
              <w:t xml:space="preserve">оживших товар российского происхождения снижается на 15 (пятнадцать) % процентов, при условии, что имеется заявка на участие в закупке, которая не отклонена и содержит предложение о поставке хотя бы одного товара, происходящего из иностранного государства.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Style w:val="1218"/>
                <w:color w:val="auto"/>
                <w:sz w:val="24"/>
                <w:szCs w:val="24"/>
                <w:u w:val="none"/>
              </w:rPr>
              <w:t xml:space="preserve">В Техническом предложении необходимо указать информацию, подтверждающую страну происхождения товара в соответствии с требованиями </w:t>
            </w:r>
            <w:hyperlink r:id="rId59" w:tooltip="https://www.consultant.ru/document/cons_doc_LAW_494318/92d969e26a4326c5d02fa79b8f9cf4994ee5633b/" w:history="1">
              <w:r>
                <w:rPr>
                  <w:rStyle w:val="1218"/>
                  <w:sz w:val="24"/>
                  <w:szCs w:val="24"/>
                </w:rPr>
                <w:t xml:space="preserve">п. 3 постановления Правительства РФ от 23.12.2024 № 1875</w:t>
              </w:r>
            </w:hyperlink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285"/>
              <w:ind w:firstLine="0"/>
              <w:jc w:val="both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642" w:type="dxa"/>
            <w:textDirection w:val="lrTb"/>
            <w:noWrap w:val="false"/>
          </w:tcPr>
          <w:p>
            <w:pPr>
              <w:ind w:firstLine="12"/>
              <w:jc w:val="center"/>
              <w:spacing w:after="0" w:line="240" w:lineRule="auto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477" w:type="dxa"/>
            <w:textDirection w:val="lrTb"/>
            <w:noWrap w:val="false"/>
          </w:tcPr>
          <w:p>
            <w:pPr>
              <w:jc w:val="left"/>
              <w:spacing w:after="0" w:line="240" w:lineRule="auto"/>
              <w:widowControl w:val="off"/>
              <w:rPr>
                <w:rFonts w:eastAsia="Calibri"/>
                <w:b/>
                <w:sz w:val="24"/>
                <w:szCs w:val="24"/>
                <w:highlight w:val="none"/>
              </w:rPr>
            </w:pPr>
            <w:r>
              <w:rPr>
                <w:rFonts w:eastAsia="Calibri"/>
                <w:b/>
                <w:sz w:val="24"/>
                <w:szCs w:val="24"/>
                <w:highlight w:val="none"/>
                <w:lang w:eastAsia="en-US"/>
              </w:rPr>
              <w:t xml:space="preserve">Критерий 2</w:t>
            </w:r>
            <w:r>
              <w:rPr>
                <w:rFonts w:eastAsia="Calibri"/>
                <w:b/>
                <w:sz w:val="24"/>
                <w:szCs w:val="24"/>
                <w:highlight w:val="none"/>
              </w:rPr>
            </w:r>
            <w:r>
              <w:rPr>
                <w:rFonts w:eastAsia="Calibri"/>
                <w:b/>
                <w:sz w:val="24"/>
                <w:szCs w:val="24"/>
                <w:highlight w:val="none"/>
              </w:rPr>
            </w:r>
          </w:p>
          <w:p>
            <w:pPr>
              <w:jc w:val="left"/>
              <w:spacing w:after="0" w:line="240" w:lineRule="auto"/>
              <w:widowControl w:val="off"/>
              <w:rPr>
                <w:b/>
                <w:sz w:val="24"/>
                <w:szCs w:val="24"/>
                <w:highlight w:val="none"/>
              </w:rPr>
            </w:pPr>
            <w:r>
              <w:rPr>
                <w:b/>
                <w:iCs/>
                <w:sz w:val="24"/>
                <w:szCs w:val="24"/>
                <w:highlight w:val="none"/>
              </w:rPr>
              <w:t xml:space="preserve">Опыт исполнения аналогичных договоров</w:t>
            </w:r>
            <w:r>
              <w:rPr>
                <w:b/>
                <w:sz w:val="24"/>
                <w:szCs w:val="24"/>
                <w:highlight w:val="none"/>
              </w:rPr>
            </w:r>
            <w:r>
              <w:rPr>
                <w:b/>
                <w:sz w:val="24"/>
                <w:szCs w:val="24"/>
                <w:highlight w:val="none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30</w:t>
            </w:r>
            <w:r>
              <w:rPr>
                <w:sz w:val="24"/>
                <w:szCs w:val="24"/>
                <w:highlight w:val="none"/>
              </w:rPr>
              <w:t xml:space="preserve"> %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ind w:firstLine="13"/>
              <w:jc w:val="center"/>
              <w:spacing w:after="0" w:line="240" w:lineRule="auto"/>
              <w:widowControl w:val="off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 xml:space="preserve">100</w:t>
            </w:r>
            <w:r>
              <w:rPr>
                <w:sz w:val="24"/>
                <w:szCs w:val="24"/>
                <w:highlight w:val="yellow"/>
              </w:rPr>
            </w:r>
            <w:r>
              <w:rPr>
                <w:sz w:val="24"/>
                <w:szCs w:val="24"/>
                <w:highlight w:val="yellow"/>
              </w:rPr>
            </w:r>
          </w:p>
        </w:tc>
        <w:tc>
          <w:tcPr>
            <w:tcW w:w="8647" w:type="dxa"/>
            <w:textDirection w:val="lrTb"/>
            <w:noWrap w:val="false"/>
          </w:tcPr>
          <w:p>
            <w:pPr>
              <w:ind w:left="13"/>
              <w:spacing w:after="0" w:line="240" w:lineRule="auto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Расчет рейтинга заявки по критерию </w:t>
            </w:r>
            <w:r>
              <w:rPr>
                <w:b/>
                <w:bCs/>
                <w:sz w:val="24"/>
                <w:szCs w:val="24"/>
              </w:rPr>
              <w:t xml:space="preserve">«</w:t>
            </w:r>
            <w:r>
              <w:rPr>
                <w:b/>
                <w:bCs/>
                <w:iCs/>
                <w:sz w:val="24"/>
                <w:szCs w:val="24"/>
              </w:rPr>
              <w:t xml:space="preserve">Опыт исполнения аналогичных договоров</w:t>
            </w:r>
            <w:r>
              <w:rPr>
                <w:b/>
                <w:bCs/>
                <w:sz w:val="24"/>
                <w:szCs w:val="24"/>
              </w:rPr>
              <w:t xml:space="preserve">»</w:t>
            </w:r>
            <w:r>
              <w:rPr>
                <w:i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осуществляется в следующем порядке: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left="13"/>
              <w:spacing w:after="0" w:line="240" w:lineRule="auto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left="13"/>
              <w:jc w:val="center"/>
              <w:spacing w:after="0" w:line="240" w:lineRule="auto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m:oMath>
              <m:sSub>
                <m:sSubPr>
                  <m:ctrlPr>
                    <w:rPr>
                      <w:rFonts w:ascii="Cambria Math" w:hAnsi="Cambria Math" w:eastAsia="Cambria Math" w:cs="Cambria Math"/>
                      <w:sz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rPr>
                      <m:sty m:val="p"/>
                    </m:rPr>
                    <m:t>R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rPr>
                      <m:sty m:val="p"/>
                    </m:rPr>
                    <m:t>oi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rPr>
                  <m:sty m:val="p"/>
                </m:rPr>
                <m:t>=</m:t>
              </m:r>
              <m:f>
                <m:fPr>
                  <m:ctrlPr>
                    <w:rPr>
                      <w:rFonts w:ascii="Cambria Math" w:hAnsi="Cambria Math" w:eastAsia="Cambria Math" w:cs="Cambria Math"/>
                      <w:sz w:val="24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eastAsia="Cambria Math" w:cs="Cambria Math"/>
                          <w:sz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rPr>
                          <m:sty m:val="p"/>
                        </m:rPr>
                        <m:t>O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rPr>
                          <m:sty m:val="p"/>
                        </m:rPr>
                        <m:t>i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 w:eastAsia="Cambria Math" w:cs="Cambria Math"/>
                          <w:sz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rPr>
                          <m:sty m:val="p"/>
                        </m:rPr>
                        <m:t>O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  <w:lang w:val="en-US"/>
                        </w:rPr>
                        <m:rPr>
                          <m:sty m:val="p"/>
                        </m:rPr>
                        <m:t>max</m:t>
                      </m:r>
                    </m:sub>
                  </m:sSub>
                </m:den>
              </m:f>
              <m:r>
                <w:rPr>
                  <w:rFonts w:ascii="Cambria Math" w:hAnsi="Cambria Math"/>
                  <w:sz w:val="24"/>
                  <w:szCs w:val="24"/>
                </w:rPr>
                <m:rPr>
                  <m:sty m:val="p"/>
                </m:rPr>
                <m:t>×100</m:t>
              </m:r>
            </m:oMath>
            <w:r>
              <w:rPr>
                <w:sz w:val="24"/>
                <w:szCs w:val="24"/>
              </w:rPr>
              <w:t xml:space="preserve">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left="13"/>
              <w:spacing w:after="0" w:line="240" w:lineRule="auto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где: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left="13"/>
              <w:spacing w:after="0" w:line="240" w:lineRule="auto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 xml:space="preserve">R</w:t>
            </w:r>
            <w:r>
              <w:rPr>
                <w:sz w:val="24"/>
                <w:szCs w:val="24"/>
                <w:vertAlign w:val="subscript"/>
                <w:lang w:val="en-US"/>
              </w:rPr>
              <w:t xml:space="preserve">oi</w:t>
            </w:r>
            <w:r>
              <w:rPr>
                <w:sz w:val="24"/>
                <w:szCs w:val="24"/>
              </w:rPr>
              <w:t xml:space="preserve"> – оценка (рейтинг) i-й заявки по критерию «</w:t>
            </w:r>
            <w:r>
              <w:rPr>
                <w:iCs/>
                <w:sz w:val="24"/>
                <w:szCs w:val="24"/>
              </w:rPr>
              <w:t xml:space="preserve">Опыт исполнения аналогичных договоров</w:t>
            </w:r>
            <w:r>
              <w:rPr>
                <w:sz w:val="24"/>
                <w:szCs w:val="24"/>
              </w:rPr>
              <w:t xml:space="preserve">», в баллах (без учета весового коэффициента).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left="13"/>
              <w:spacing w:after="0" w:line="240" w:lineRule="auto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 xml:space="preserve">O</w:t>
            </w:r>
            <w:r>
              <w:rPr>
                <w:sz w:val="24"/>
                <w:szCs w:val="24"/>
                <w:vertAlign w:val="subscript"/>
                <w:lang w:val="en-US"/>
              </w:rPr>
              <w:t xml:space="preserve">i</w:t>
            </w:r>
            <w:r>
              <w:rPr>
                <w:sz w:val="24"/>
                <w:szCs w:val="24"/>
              </w:rPr>
              <w:t xml:space="preserve"> – опыт исполнения аналогичных договоров </w:t>
            </w:r>
            <w:r>
              <w:rPr>
                <w:sz w:val="24"/>
                <w:szCs w:val="24"/>
                <w:lang w:val="en-US"/>
              </w:rPr>
              <w:t xml:space="preserve">i</w:t>
            </w:r>
            <w:r>
              <w:rPr>
                <w:sz w:val="24"/>
                <w:szCs w:val="24"/>
              </w:rPr>
              <w:t xml:space="preserve">-участнико</w:t>
            </w:r>
            <w:r>
              <w:rPr>
                <w:sz w:val="24"/>
                <w:szCs w:val="24"/>
              </w:rPr>
              <w:t xml:space="preserve">м закупки (в ценовом выражении). </w:t>
            </w:r>
            <w:r>
              <w:rPr>
                <w:sz w:val="24"/>
                <w:szCs w:val="24"/>
              </w:rPr>
              <w:t xml:space="preserve">При этом, если величина опыта исполнения аналогичных договоров </w:t>
            </w:r>
            <w:r>
              <w:rPr>
                <w:sz w:val="24"/>
                <w:szCs w:val="24"/>
                <w:lang w:val="en-US"/>
              </w:rPr>
              <w:t xml:space="preserve">i</w:t>
            </w:r>
            <w:r>
              <w:rPr>
                <w:sz w:val="24"/>
                <w:szCs w:val="24"/>
              </w:rPr>
              <w:t xml:space="preserve">-участником закупки (в ценовом выражении)</w:t>
            </w:r>
            <w:r>
              <w:rPr>
                <w:sz w:val="24"/>
                <w:szCs w:val="24"/>
              </w:rPr>
              <w:t xml:space="preserve"> более чем в 10 (десять) раз превышает размер начальной (максимальной) цены до</w:t>
            </w:r>
            <w:r>
              <w:rPr>
                <w:sz w:val="24"/>
                <w:szCs w:val="24"/>
              </w:rPr>
              <w:t xml:space="preserve">говора (лота), установленной в части</w:t>
            </w:r>
            <w:r>
              <w:rPr>
                <w:sz w:val="24"/>
                <w:szCs w:val="24"/>
              </w:rPr>
              <w:t xml:space="preserve"> </w:t>
            </w:r>
            <w:hyperlink w:tooltip="#_Сведения_о_начальной" w:anchor="_Сведения_о_начальной" w:history="1">
              <w:r>
                <w:rPr>
                  <w:rStyle w:val="1218"/>
                  <w:sz w:val="24"/>
                  <w:szCs w:val="24"/>
                </w:rPr>
                <w:t xml:space="preserve">II ИНФОРМАЦИОННАЯ КАРТА ЗАКУПКИ</w:t>
              </w:r>
            </w:hyperlink>
            <w:r>
              <w:rPr>
                <w:sz w:val="24"/>
                <w:szCs w:val="24"/>
              </w:rPr>
              <w:t xml:space="preserve">, то рейтинг заявки этого участника по данному критерию равен 100 баллам;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left="13"/>
              <w:spacing w:after="0" w:line="240" w:lineRule="auto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 xml:space="preserve">O</w:t>
            </w:r>
            <w:r>
              <w:rPr>
                <w:sz w:val="24"/>
                <w:szCs w:val="24"/>
                <w:vertAlign w:val="subscript"/>
                <w:lang w:val="en-US"/>
              </w:rPr>
              <w:t xml:space="preserve">max</w:t>
            </w:r>
            <w:r>
              <w:rPr>
                <w:sz w:val="24"/>
                <w:szCs w:val="24"/>
              </w:rPr>
              <w:t xml:space="preserve"> – наибольшая величина опыта исполнения аналогичных договоров среди всех участников закупки (в ценовом выражении). При этом, если наибольшая величина опыта исполнения аналогичных договоров среди всех участников закупки (в ценовом выражении) </w:t>
            </w:r>
            <w:r>
              <w:rPr>
                <w:sz w:val="24"/>
                <w:szCs w:val="24"/>
                <w:highlight w:val="yellow"/>
              </w:rPr>
              <w:t xml:space="preserve">более чем в 10 (десять) раз</w:t>
            </w:r>
            <w:r>
              <w:rPr>
                <w:sz w:val="24"/>
                <w:szCs w:val="24"/>
              </w:rPr>
              <w:t xml:space="preserve"> превышает размер начальной (максимальной) цены договора (лота), установленной в </w:t>
            </w:r>
            <w:r>
              <w:rPr>
                <w:sz w:val="24"/>
                <w:szCs w:val="24"/>
              </w:rPr>
              <w:t xml:space="preserve">части</w:t>
            </w:r>
            <w:r>
              <w:rPr>
                <w:sz w:val="24"/>
                <w:szCs w:val="24"/>
              </w:rPr>
              <w:t xml:space="preserve"> </w:t>
            </w:r>
            <w:hyperlink w:tooltip="#_Сведения_о_начальной" w:anchor="_Сведения_о_начальной" w:history="1">
              <w:r>
                <w:rPr>
                  <w:color w:val="0000ff"/>
                  <w:sz w:val="24"/>
                  <w:szCs w:val="24"/>
                  <w:u w:val="single"/>
                </w:rPr>
                <w:t xml:space="preserve">II ИНФОРМАЦИОННАЯ КАРТА ЗАКУПКИ</w:t>
              </w:r>
            </w:hyperlink>
            <w:r>
              <w:rPr>
                <w:sz w:val="24"/>
                <w:szCs w:val="24"/>
              </w:rPr>
              <w:t xml:space="preserve">, O</w:t>
            </w:r>
            <w:r>
              <w:rPr>
                <w:sz w:val="24"/>
                <w:szCs w:val="24"/>
                <w:vertAlign w:val="subscript"/>
              </w:rPr>
              <w:t xml:space="preserve">max</w:t>
            </w:r>
            <w:r>
              <w:rPr>
                <w:sz w:val="24"/>
                <w:szCs w:val="24"/>
              </w:rPr>
              <w:t xml:space="preserve"> принимается равным величине начальной (максимальной) цены договора (лота), установленной в </w:t>
            </w:r>
            <w:hyperlink w:tooltip="#_Сведения_о_начальной" w:anchor="_Сведения_о_начальной" w:history="1">
              <w:r>
                <w:rPr>
                  <w:color w:val="0000ff"/>
                  <w:sz w:val="24"/>
                  <w:szCs w:val="24"/>
                  <w:u w:val="single"/>
                </w:rPr>
                <w:t xml:space="preserve">части</w:t>
              </w:r>
              <w:r>
                <w:rPr>
                  <w:color w:val="0000ff"/>
                  <w:sz w:val="24"/>
                  <w:szCs w:val="24"/>
                  <w:u w:val="single"/>
                </w:rPr>
                <w:t xml:space="preserve"> II ИНФОРМАЦИОННАЯ КАРТА ЗАКУПКИ </w:t>
              </w:r>
            </w:hyperlink>
            <w:r>
              <w:rPr>
                <w:sz w:val="24"/>
                <w:szCs w:val="24"/>
              </w:rPr>
              <w:t xml:space="preserve"> увеличенной в </w:t>
            </w:r>
            <w:r>
              <w:rPr>
                <w:sz w:val="24"/>
                <w:szCs w:val="24"/>
                <w:highlight w:val="yellow"/>
              </w:rPr>
              <w:t xml:space="preserve">10 (десять) раз</w:t>
            </w:r>
            <w:r>
              <w:rPr>
                <w:sz w:val="24"/>
                <w:szCs w:val="24"/>
              </w:rPr>
              <w:t xml:space="preserve">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left="13"/>
              <w:spacing w:after="0" w:line="240" w:lineRule="auto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left="13" w:hanging="13"/>
              <w:spacing w:after="0" w:line="240" w:lineRule="auto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Расчетный период – 3 (три) года на дату размещения извещения о закупке на официальном сайте единой информационной системы в сфере закупок в информационно-телекоммуникационной сети Интернет.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left="13" w:hanging="13"/>
              <w:spacing w:after="0" w:line="240" w:lineRule="auto"/>
              <w:widowControl w:val="o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Аналогичными договорами будут признаны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договоры в соответствии с ОКПД2 82.30 Услуги по организации конференций и торговых выставок и ОКВЭД2 82.30 Деятельность по организации конференций и выставок</w:t>
            </w:r>
            <w:r>
              <w:rPr>
                <w:b/>
                <w:sz w:val="24"/>
                <w:szCs w:val="24"/>
              </w:rPr>
              <w:t xml:space="preserve">.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ind w:left="13" w:hanging="13"/>
              <w:spacing w:after="0" w:line="240" w:lineRule="auto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рамках данного требования к учету будет принята стоимость выполненных ра</w:t>
            </w:r>
            <w:r>
              <w:rPr>
                <w:sz w:val="24"/>
                <w:szCs w:val="24"/>
              </w:rPr>
              <w:t xml:space="preserve">бот по аналогичным договорам, которые завершены  за последние 3 (три) года на дату размещения извещения о закупке на официальном сайте единой информационной системы в сфере закупок в информационно-телекоммуникационной сети Интернет, отраженная в последней </w:t>
            </w:r>
            <w:hyperlink r:id="rId60" w:tooltip="https://www.consultant.ru/document/cons_doc_LAW_26303/d3a70f222015da0dd6e786b0d839d57d0b6359cb/?ysclid=lgx8r0fd3i243482822" w:history="1">
              <w:r>
                <w:rPr>
                  <w:color w:val="0000ff"/>
                  <w:sz w:val="24"/>
                  <w:szCs w:val="24"/>
                  <w:u w:val="single"/>
                </w:rPr>
                <w:t xml:space="preserve">«Справке о стоимости выполненных работ и затрат» по форме КС-3</w:t>
              </w:r>
            </w:hyperlink>
            <w:r>
              <w:rPr>
                <w:sz w:val="24"/>
                <w:szCs w:val="24"/>
              </w:rPr>
              <w:t xml:space="preserve"> (в случае если в соответствии с условиями договора такая форма предусмотрена), либо в актах выполненных работ.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left="13" w:hanging="13"/>
              <w:spacing w:after="0" w:line="240" w:lineRule="auto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Из расчета исключаются договоры, не являющиеся аналогичными, договоры, не исполненные на 100%, договоры, указанные в справке, по которым отсутствуют подтверждающие документы, а также договоры, не указанные в справке.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left"/>
              <w:spacing w:after="0" w:line="240" w:lineRule="auto"/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</w:r>
            <w:r>
              <w:rPr>
                <w:rFonts w:eastAsiaTheme="minorHAnsi"/>
                <w:sz w:val="24"/>
                <w:szCs w:val="24"/>
              </w:rPr>
            </w:r>
            <w:r>
              <w:rPr>
                <w:rFonts w:eastAsiaTheme="minorHAnsi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Подтверждающие </w:t>
            </w:r>
            <w:r>
              <w:rPr>
                <w:sz w:val="24"/>
                <w:szCs w:val="24"/>
              </w:rPr>
              <w:t xml:space="preserve">документы: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numPr>
                <w:ilvl w:val="0"/>
                <w:numId w:val="39"/>
              </w:numPr>
              <w:ind w:left="13"/>
              <w:spacing w:after="0" w:line="240" w:lineRule="auto"/>
              <w:widowControl w:val="off"/>
              <w:tabs>
                <w:tab w:val="left" w:pos="383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hyperlink w:tooltip="#_ФОРМА_Справка_о_1" w:anchor="_ФОРМА_Справка_о_1" w:history="1">
              <w:r>
                <w:rPr>
                  <w:color w:val="0000ff"/>
                  <w:sz w:val="24"/>
                  <w:szCs w:val="24"/>
                  <w:u w:val="single"/>
                </w:rPr>
                <w:t xml:space="preserve">Справка о перечне и объемах исполнения аналогичных договоров за 3 (три) последние года по форме, установленной в настоящей документации о закупке (часть III документации о закупке).</w:t>
              </w:r>
            </w:hyperlink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numPr>
                <w:ilvl w:val="0"/>
                <w:numId w:val="39"/>
              </w:numPr>
              <w:ind w:left="13"/>
              <w:spacing w:after="0" w:line="240" w:lineRule="auto"/>
              <w:widowControl w:val="off"/>
              <w:tabs>
                <w:tab w:val="left" w:pos="383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Копии исполненных аналогичных договоров, включающих все приложения к таким договорам, все дополнительные соглашения к ним.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numPr>
                <w:ilvl w:val="0"/>
                <w:numId w:val="39"/>
              </w:numPr>
              <w:ind w:left="13"/>
              <w:spacing w:after="0" w:line="240" w:lineRule="auto"/>
              <w:widowControl w:val="off"/>
              <w:tabs>
                <w:tab w:val="left" w:pos="383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Копия последней </w:t>
            </w:r>
            <w:hyperlink r:id="rId61" w:tooltip="https://www.consultant.ru/document/cons_doc_LAW_26303/d3a70f222015da0dd6e786b0d839d57d0b6359cb/?ysclid=lgx8r0fd3i243482822" w:history="1">
              <w:r>
                <w:rPr>
                  <w:color w:val="0000ff"/>
                  <w:sz w:val="24"/>
                  <w:szCs w:val="24"/>
                  <w:u w:val="single"/>
                </w:rPr>
                <w:t xml:space="preserve">«Справки о стоимости выполненных работ и затрат» по форме КС-3</w:t>
              </w:r>
            </w:hyperlink>
            <w:r>
              <w:rPr>
                <w:sz w:val="24"/>
                <w:szCs w:val="24"/>
              </w:rPr>
              <w:t xml:space="preserve"> (в случае если в соответствии с условиями договора такая форма предусмотрена) или копии </w:t>
            </w:r>
            <w:hyperlink r:id="rId62" w:tooltip="https://www.consultant.ru/document/cons_doc_LAW_26303/dcaa7085e4a308d45f6b131e6506737ef9230c7c/?ysclid=lgx954x9qo716241051" w:history="1">
              <w:r>
                <w:rPr>
                  <w:color w:val="0000ff"/>
                  <w:sz w:val="24"/>
                  <w:szCs w:val="24"/>
                  <w:u w:val="single"/>
                </w:rPr>
                <w:t xml:space="preserve">«Актов о приемке выполненных работ»</w:t>
              </w:r>
            </w:hyperlink>
            <w:r>
              <w:rPr>
                <w:sz w:val="24"/>
                <w:szCs w:val="24"/>
              </w:rPr>
              <w:t xml:space="preserve"> (форма КС-2 или иная форма в соответствии с условиями договора), содержащих все обязательные реквизиты, установленные </w:t>
            </w:r>
            <w:hyperlink r:id="rId63" w:tooltip="https://www.consultant.ru/document/cons_doc_LAW_122855/b24121ba7152f33673608559f2ca844ef5b6a74c/?ysclid=lgwbt56le8873077341" w:history="1">
              <w:r>
                <w:rPr>
                  <w:color w:val="0000ff"/>
                  <w:sz w:val="24"/>
                  <w:szCs w:val="24"/>
                  <w:u w:val="single"/>
                </w:rPr>
                <w:t xml:space="preserve">частью 2 статьи 9 Федерального закона «О бухгалтерском учете» от 06.12.2011 № 402-ФЗ.</w:t>
              </w:r>
            </w:hyperlink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spacing w:after="0" w:line="240" w:lineRule="auto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contextualSpacing/>
              <w:spacing w:after="160" w:line="240" w:lineRule="auto"/>
              <w:tabs>
                <w:tab w:val="left" w:pos="284" w:leader="none"/>
              </w:tabs>
              <w:rPr>
                <w:rFonts w:eastAsiaTheme="minorHAnsi"/>
                <w:b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В случае не предоставления участником закупки необходимой для проведения балльной оценки информации или недостаточности предоставленной участником информации, заявке такого участника, по данному критерию, присваивается </w:t>
            </w:r>
            <w:r>
              <w:rPr>
                <w:rFonts w:eastAsiaTheme="minorHAnsi"/>
                <w:b/>
                <w:sz w:val="24"/>
                <w:szCs w:val="24"/>
                <w:lang w:eastAsia="en-US"/>
              </w:rPr>
              <w:t xml:space="preserve">0 баллов.</w:t>
            </w:r>
            <w:r>
              <w:rPr>
                <w:rFonts w:eastAsiaTheme="minorHAnsi"/>
                <w:b/>
                <w:sz w:val="24"/>
                <w:szCs w:val="24"/>
              </w:rPr>
            </w:r>
            <w:r>
              <w:rPr>
                <w:rFonts w:eastAsiaTheme="minorHAnsi"/>
                <w:b/>
                <w:sz w:val="24"/>
                <w:szCs w:val="24"/>
              </w:rPr>
            </w:r>
          </w:p>
          <w:p>
            <w:pPr>
              <w:contextualSpacing/>
              <w:spacing w:after="160" w:line="240" w:lineRule="auto"/>
              <w:tabs>
                <w:tab w:val="left" w:pos="284" w:leader="none"/>
              </w:tabs>
              <w:rPr>
                <w:rFonts w:eastAsiaTheme="minorHAnsi"/>
                <w:b/>
                <w:sz w:val="24"/>
                <w:szCs w:val="24"/>
              </w:rPr>
            </w:pPr>
            <w:r>
              <w:rPr>
                <w:rFonts w:eastAsiaTheme="minorHAnsi"/>
                <w:b/>
                <w:sz w:val="24"/>
                <w:szCs w:val="24"/>
                <w:lang w:eastAsia="en-US"/>
              </w:rPr>
            </w:r>
            <w:r>
              <w:rPr>
                <w:rFonts w:eastAsiaTheme="minorHAnsi"/>
                <w:b/>
                <w:sz w:val="24"/>
                <w:szCs w:val="24"/>
              </w:rPr>
            </w:r>
            <w:r>
              <w:rPr>
                <w:rFonts w:eastAsiaTheme="minorHAnsi"/>
                <w:b/>
                <w:sz w:val="24"/>
                <w:szCs w:val="24"/>
              </w:rPr>
            </w:r>
          </w:p>
          <w:p>
            <w:pPr>
              <w:contextualSpacing/>
              <w:spacing w:after="160" w:line="240" w:lineRule="auto"/>
              <w:tabs>
                <w:tab w:val="left" w:pos="284" w:leader="none"/>
              </w:tabs>
              <w:rPr>
                <w:rFonts w:eastAsiaTheme="minorHAnsi"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hyperlink w:tooltip="#_ФОРМА_Справка_о_1" w:anchor="_ФОРМА_Справка_о_1" w:history="1">
              <w:r>
                <w:rPr>
                  <w:rFonts w:eastAsiaTheme="minorHAnsi"/>
                  <w:i/>
                  <w:color w:val="0000ff"/>
                  <w:sz w:val="24"/>
                  <w:szCs w:val="24"/>
                  <w:u w:val="single"/>
                  <w:lang w:eastAsia="en-US"/>
                </w:rPr>
                <w:t xml:space="preserve">Предлагаемая форма справки об опыте в приложении с предлагаемыми формами</w:t>
              </w:r>
            </w:hyperlink>
            <w:r>
              <w:rPr>
                <w:rFonts w:eastAsiaTheme="minorHAnsi"/>
                <w:i/>
                <w:sz w:val="24"/>
                <w:szCs w:val="24"/>
                <w:lang w:eastAsia="en-US"/>
              </w:rPr>
              <w:t xml:space="preserve">.</w:t>
            </w:r>
            <w:r>
              <w:rPr>
                <w:rFonts w:eastAsiaTheme="minorHAnsi"/>
                <w:i/>
                <w:sz w:val="24"/>
                <w:szCs w:val="24"/>
              </w:rPr>
            </w:r>
            <w:r>
              <w:rPr>
                <w:rFonts w:eastAsiaTheme="minorHAnsi"/>
                <w:i/>
                <w:sz w:val="24"/>
                <w:szCs w:val="24"/>
              </w:rPr>
            </w:r>
          </w:p>
        </w:tc>
      </w:tr>
    </w:tbl>
    <w:p>
      <w:pPr>
        <w:jc w:val="left"/>
        <w:spacing w:after="0"/>
      </w:pPr>
      <w:r/>
      <w:r/>
    </w:p>
    <w:p>
      <w:pPr>
        <w:numPr>
          <w:ilvl w:val="0"/>
          <w:numId w:val="7"/>
        </w:numPr>
        <w:contextualSpacing/>
        <w:ind w:left="0" w:right="-165" w:firstLine="567"/>
        <w:jc w:val="both"/>
        <w:keepLines/>
        <w:spacing w:after="0"/>
        <w:tabs>
          <w:tab w:val="left" w:pos="992" w:leader="none"/>
        </w:tabs>
        <w:rPr>
          <w:rFonts w:eastAsia="Calibri"/>
          <w:highlight w:val="none"/>
        </w:rPr>
      </w:pPr>
      <w:r>
        <w:rPr>
          <w:rFonts w:eastAsia="Calibri"/>
          <w:lang w:eastAsia="en-US"/>
        </w:rPr>
        <w:t xml:space="preserve">Полученные расчетные значения оцен</w:t>
      </w:r>
      <w:r>
        <w:rPr>
          <w:rFonts w:eastAsia="Calibri"/>
          <w:lang w:eastAsia="en-US"/>
        </w:rPr>
        <w:t xml:space="preserve">ки п</w:t>
      </w:r>
      <w:r>
        <w:rPr>
          <w:rFonts w:eastAsia="Calibri"/>
          <w:highlight w:val="none"/>
          <w:lang w:eastAsia="en-US"/>
        </w:rPr>
        <w:t xml:space="preserve">о каждому критерию (ценовому и неценовым), применяются для расчета итоговой оценки предпочтительности заявки участника (итогового рейтинга заявки). Данный показатель рассчитывается как сумма полученных балльных оценок с учетом их весовых коэффициентов:</w:t>
      </w:r>
      <w:r>
        <w:rPr>
          <w:rFonts w:eastAsia="Calibri"/>
          <w:highlight w:val="none"/>
        </w:rPr>
      </w:r>
      <w:r>
        <w:rPr>
          <w:rFonts w:eastAsia="Calibri"/>
          <w:highlight w:val="none"/>
        </w:rPr>
      </w:r>
    </w:p>
    <w:p>
      <w:pPr>
        <w:ind w:left="0" w:right="-165" w:firstLine="0"/>
        <w:jc w:val="center"/>
        <w:spacing w:after="0"/>
        <w:rPr>
          <w:rFonts w:eastAsia="Calibri"/>
          <w:highlight w:val="none"/>
        </w:rPr>
      </w:pPr>
      <w:r>
        <w:rPr>
          <w:rFonts w:eastAsia="Calibri"/>
          <w:bCs/>
          <w:highlight w:val="none"/>
          <w:lang w:val="en-US" w:eastAsia="en-US"/>
        </w:rPr>
        <w:t xml:space="preserve">R</w:t>
      </w:r>
      <w:r>
        <w:rPr>
          <w:rFonts w:eastAsia="Calibri"/>
          <w:bCs/>
          <w:highlight w:val="none"/>
          <w:vertAlign w:val="subscript"/>
          <w:lang w:val="en-US" w:eastAsia="en-US"/>
        </w:rPr>
        <w:t xml:space="preserve">i</w:t>
      </w:r>
      <w:r>
        <w:rPr>
          <w:rFonts w:eastAsia="Calibri"/>
          <w:b/>
          <w:bCs/>
          <w:highlight w:val="none"/>
          <w:lang w:val="en-US" w:eastAsia="en-US"/>
        </w:rPr>
        <w:t xml:space="preserve"> </w:t>
      </w:r>
      <w:r>
        <w:rPr>
          <w:rFonts w:eastAsia="Calibri"/>
          <w:highlight w:val="none"/>
          <w:lang w:val="en-US" w:eastAsia="en-US"/>
        </w:rPr>
        <w:t xml:space="preserve">= (R</w:t>
      </w:r>
      <w:r>
        <w:rPr>
          <w:rFonts w:eastAsia="Calibri"/>
          <w:iCs/>
          <w:highlight w:val="none"/>
          <w:vertAlign w:val="subscript"/>
          <w:lang w:val="en-US" w:eastAsia="en-US"/>
        </w:rPr>
        <w:t xml:space="preserve">si</w:t>
      </w:r>
      <w:r>
        <w:rPr>
          <w:rFonts w:eastAsia="Calibri"/>
          <w:highlight w:val="none"/>
          <w:vertAlign w:val="subscript"/>
          <w:lang w:val="en-US" w:eastAsia="en-US"/>
        </w:rPr>
        <w:t xml:space="preserve"> </w:t>
      </w:r>
      <w:r>
        <w:rPr>
          <w:rFonts w:eastAsia="Calibri"/>
          <w:highlight w:val="none"/>
          <w:lang w:val="en-US" w:eastAsia="en-US"/>
        </w:rPr>
        <w:t xml:space="preserve">x V</w:t>
      </w:r>
      <w:r>
        <w:rPr>
          <w:rFonts w:eastAsia="Calibri"/>
          <w:highlight w:val="none"/>
          <w:vertAlign w:val="subscript"/>
          <w:lang w:val="en-US" w:eastAsia="en-US"/>
        </w:rPr>
        <w:t xml:space="preserve">s</w:t>
      </w:r>
      <w:r>
        <w:rPr>
          <w:rFonts w:eastAsia="Calibri"/>
          <w:highlight w:val="none"/>
          <w:lang w:val="en-US" w:eastAsia="en-US"/>
        </w:rPr>
        <w:t xml:space="preserve">) + </w:t>
      </w:r>
      <w:r>
        <w:rPr>
          <w:rFonts w:eastAsia="Calibri"/>
          <w:highlight w:val="none"/>
          <w:lang w:val="en-US" w:eastAsia="en-US"/>
        </w:rPr>
        <w:t xml:space="preserve">(</w:t>
      </w:r>
      <w:r>
        <w:rPr>
          <w:highlight w:val="none"/>
          <w:lang w:val="en-US"/>
        </w:rPr>
        <w:t xml:space="preserve">R</w:t>
      </w:r>
      <w:r>
        <w:rPr>
          <w:highlight w:val="none"/>
          <w:vertAlign w:val="subscript"/>
          <w:lang w:val="en-US"/>
        </w:rPr>
        <w:t xml:space="preserve">oi</w:t>
      </w:r>
      <w:r>
        <w:rPr>
          <w:rFonts w:eastAsia="Calibri"/>
          <w:highlight w:val="none"/>
          <w:lang w:val="en-US" w:eastAsia="en-US"/>
        </w:rPr>
        <w:t xml:space="preserve"> x V</w:t>
      </w:r>
      <w:r>
        <w:rPr>
          <w:rFonts w:eastAsia="Calibri"/>
          <w:highlight w:val="none"/>
          <w:vertAlign w:val="subscript"/>
          <w:lang w:val="en-US" w:eastAsia="en-US"/>
        </w:rPr>
        <w:t xml:space="preserve">oi</w:t>
      </w:r>
      <w:r>
        <w:rPr>
          <w:rFonts w:eastAsia="Calibri"/>
          <w:highlight w:val="none"/>
          <w:lang w:val="en-US" w:eastAsia="en-US"/>
        </w:rPr>
        <w:t xml:space="preserve">) </w:t>
      </w:r>
      <w:r>
        <w:rPr>
          <w:rFonts w:eastAsia="Calibri"/>
          <w:highlight w:val="none"/>
        </w:rPr>
      </w:r>
      <w:r>
        <w:rPr>
          <w:rFonts w:eastAsia="Calibri"/>
          <w:highlight w:val="none"/>
        </w:rPr>
      </w:r>
    </w:p>
    <w:p>
      <w:pPr>
        <w:ind w:left="0" w:right="-165" w:firstLine="0"/>
        <w:jc w:val="both"/>
        <w:spacing w:after="0"/>
        <w:rPr>
          <w:rFonts w:eastAsia="Calibri"/>
          <w:highlight w:val="none"/>
        </w:rPr>
      </w:pPr>
      <w:r>
        <w:rPr>
          <w:rFonts w:eastAsia="Calibri"/>
          <w:highlight w:val="none"/>
          <w:lang w:eastAsia="en-US"/>
        </w:rPr>
        <w:t xml:space="preserve">где:</w:t>
      </w:r>
      <w:r>
        <w:rPr>
          <w:rFonts w:eastAsia="Calibri"/>
          <w:highlight w:val="none"/>
        </w:rPr>
      </w:r>
      <w:r>
        <w:rPr>
          <w:rFonts w:eastAsia="Calibri"/>
          <w:highlight w:val="none"/>
        </w:rPr>
      </w:r>
    </w:p>
    <w:p>
      <w:pPr>
        <w:ind w:left="0" w:right="-165" w:firstLine="0"/>
        <w:jc w:val="both"/>
        <w:spacing w:after="0"/>
        <w:rPr>
          <w:rFonts w:eastAsia="Calibri"/>
          <w:highlight w:val="none"/>
        </w:rPr>
      </w:pPr>
      <w:r>
        <w:rPr>
          <w:rFonts w:eastAsia="Calibri"/>
          <w:bCs/>
          <w:highlight w:val="none"/>
          <w:lang w:eastAsia="en-US"/>
        </w:rPr>
        <w:t xml:space="preserve">Ri </w:t>
      </w:r>
      <w:r>
        <w:rPr>
          <w:rFonts w:eastAsia="Calibri"/>
          <w:highlight w:val="none"/>
          <w:lang w:eastAsia="en-US"/>
        </w:rPr>
        <w:t xml:space="preserve">- общий рейтинг предпочтительности i-й заявки;</w:t>
      </w:r>
      <w:r>
        <w:rPr>
          <w:rFonts w:eastAsia="Calibri"/>
          <w:highlight w:val="none"/>
        </w:rPr>
      </w:r>
      <w:r>
        <w:rPr>
          <w:rFonts w:eastAsia="Calibri"/>
          <w:highlight w:val="none"/>
        </w:rPr>
      </w:r>
    </w:p>
    <w:p>
      <w:pPr>
        <w:ind w:left="0" w:right="-165" w:firstLine="0"/>
        <w:jc w:val="both"/>
        <w:spacing w:after="0"/>
        <w:rPr>
          <w:rFonts w:eastAsia="Calibri"/>
          <w:highlight w:val="none"/>
        </w:rPr>
      </w:pPr>
      <w:r>
        <w:rPr>
          <w:rFonts w:eastAsia="Calibri"/>
          <w:highlight w:val="none"/>
          <w:lang w:val="en-US" w:eastAsia="en-US"/>
        </w:rPr>
        <w:t xml:space="preserve">R</w:t>
      </w:r>
      <w:r>
        <w:rPr>
          <w:rFonts w:eastAsia="Calibri"/>
          <w:iCs/>
          <w:highlight w:val="none"/>
          <w:vertAlign w:val="subscript"/>
          <w:lang w:val="en-US" w:eastAsia="en-US"/>
        </w:rPr>
        <w:t xml:space="preserve">si</w:t>
      </w:r>
      <w:r>
        <w:rPr>
          <w:rFonts w:eastAsia="Calibri"/>
          <w:highlight w:val="none"/>
          <w:vertAlign w:val="subscript"/>
          <w:lang w:eastAsia="en-US"/>
        </w:rPr>
        <w:t xml:space="preserve"> </w:t>
      </w:r>
      <w:r>
        <w:rPr>
          <w:rFonts w:eastAsia="Calibri"/>
          <w:highlight w:val="none"/>
          <w:lang w:eastAsia="en-US"/>
        </w:rPr>
        <w:t xml:space="preserve">-  оценка в баллах по ценовому критерию (по критерию стоимости заявки);</w:t>
      </w:r>
      <w:r>
        <w:rPr>
          <w:rFonts w:eastAsia="Calibri"/>
          <w:highlight w:val="none"/>
        </w:rPr>
      </w:r>
      <w:r>
        <w:rPr>
          <w:rFonts w:eastAsia="Calibri"/>
          <w:highlight w:val="none"/>
        </w:rPr>
      </w:r>
    </w:p>
    <w:p>
      <w:pPr>
        <w:ind w:left="0" w:right="-165" w:firstLine="0"/>
        <w:jc w:val="both"/>
        <w:spacing w:after="0"/>
        <w:rPr>
          <w:rFonts w:eastAsia="Calibri"/>
          <w:bCs/>
          <w:highlight w:val="none"/>
        </w:rPr>
      </w:pPr>
      <w:r>
        <w:rPr>
          <w:highlight w:val="none"/>
          <w:lang w:val="en-US"/>
        </w:rPr>
        <w:t xml:space="preserve">R</w:t>
      </w:r>
      <w:r>
        <w:rPr>
          <w:highlight w:val="none"/>
          <w:vertAlign w:val="subscript"/>
          <w:lang w:val="en-US"/>
        </w:rPr>
        <w:t xml:space="preserve">oi</w:t>
      </w:r>
      <w:r>
        <w:rPr>
          <w:rFonts w:eastAsia="Calibri"/>
          <w:iCs/>
          <w:highlight w:val="none"/>
          <w:vertAlign w:val="subscript"/>
          <w:lang w:eastAsia="en-US"/>
        </w:rPr>
        <w:t xml:space="preserve"> </w:t>
      </w:r>
      <w:r>
        <w:rPr>
          <w:rFonts w:eastAsia="Calibri"/>
          <w:highlight w:val="none"/>
          <w:lang w:eastAsia="en-US"/>
        </w:rPr>
        <w:t xml:space="preserve">-  оценка в баллах по критерию «Опыт исполнения аналогичных договоров</w:t>
      </w:r>
      <w:r>
        <w:rPr>
          <w:rFonts w:eastAsia="Calibri"/>
          <w:bCs/>
          <w:highlight w:val="none"/>
          <w:lang w:eastAsia="en-US"/>
        </w:rPr>
        <w:t xml:space="preserve">»; </w:t>
      </w:r>
      <w:r>
        <w:rPr>
          <w:rFonts w:eastAsia="Calibri"/>
          <w:bCs/>
          <w:highlight w:val="none"/>
        </w:rPr>
      </w:r>
      <w:r>
        <w:rPr>
          <w:rFonts w:eastAsia="Calibri"/>
          <w:bCs/>
          <w:highlight w:val="none"/>
        </w:rPr>
      </w:r>
    </w:p>
    <w:p>
      <w:pPr>
        <w:ind w:left="0" w:right="-165" w:firstLine="0"/>
        <w:jc w:val="both"/>
        <w:spacing w:after="0"/>
        <w:widowControl w:val="off"/>
        <w:tabs>
          <w:tab w:val="left" w:pos="0" w:leader="none"/>
          <w:tab w:val="left" w:pos="1560" w:leader="none"/>
        </w:tabs>
        <w:rPr>
          <w:rFonts w:eastAsia="Calibri"/>
          <w:highlight w:val="none"/>
        </w:rPr>
      </w:pPr>
      <w:r>
        <w:rPr>
          <w:rFonts w:eastAsia="Calibri"/>
          <w:highlight w:val="none"/>
          <w:lang w:val="en-US" w:eastAsia="en-US"/>
        </w:rPr>
        <w:t xml:space="preserve">V</w:t>
      </w:r>
      <w:r>
        <w:rPr>
          <w:rFonts w:eastAsia="Calibri"/>
          <w:highlight w:val="none"/>
          <w:vertAlign w:val="subscript"/>
          <w:lang w:val="en-US" w:eastAsia="en-US"/>
        </w:rPr>
        <w:t xml:space="preserve">s</w:t>
      </w:r>
      <w:r>
        <w:rPr>
          <w:rFonts w:eastAsia="Arial Unicode MS"/>
          <w:highlight w:val="none"/>
        </w:rPr>
        <w:t xml:space="preserve">, </w:t>
      </w:r>
      <w:r>
        <w:rPr>
          <w:rFonts w:eastAsia="Calibri"/>
          <w:highlight w:val="none"/>
          <w:lang w:val="en-US" w:eastAsia="en-US"/>
        </w:rPr>
        <w:t xml:space="preserve">V</w:t>
      </w:r>
      <w:r>
        <w:rPr>
          <w:rFonts w:eastAsia="Calibri"/>
          <w:highlight w:val="none"/>
          <w:vertAlign w:val="subscript"/>
          <w:lang w:val="en-US" w:eastAsia="en-US"/>
        </w:rPr>
        <w:t xml:space="preserve">oi</w:t>
      </w:r>
      <w:r>
        <w:rPr>
          <w:rFonts w:eastAsia="Calibri"/>
          <w:highlight w:val="none"/>
          <w:vertAlign w:val="subscript"/>
          <w:lang w:eastAsia="en-US"/>
        </w:rPr>
        <w:t xml:space="preserve">,</w:t>
      </w:r>
      <w:r>
        <w:rPr>
          <w:rFonts w:eastAsia="Arial Unicode MS"/>
          <w:highlight w:val="none"/>
        </w:rPr>
        <w:t xml:space="preserve">– весовые коэффициенты соответствующих критериев</w:t>
      </w:r>
      <w:r>
        <w:rPr>
          <w:rFonts w:eastAsia="Calibri"/>
          <w:highlight w:val="none"/>
        </w:rPr>
        <w:t xml:space="preserve">.</w:t>
      </w:r>
      <w:r>
        <w:rPr>
          <w:rFonts w:eastAsia="Calibri"/>
          <w:highlight w:val="none"/>
        </w:rPr>
      </w:r>
      <w:r>
        <w:rPr>
          <w:rFonts w:eastAsia="Calibri"/>
          <w:highlight w:val="none"/>
        </w:rPr>
      </w:r>
    </w:p>
    <w:p>
      <w:pPr>
        <w:numPr>
          <w:ilvl w:val="1"/>
          <w:numId w:val="32"/>
        </w:numPr>
        <w:ind w:left="0" w:right="-165" w:firstLine="567"/>
        <w:jc w:val="both"/>
        <w:spacing w:after="0"/>
        <w:widowControl w:val="off"/>
        <w:rPr>
          <w:highlight w:val="none"/>
        </w:rPr>
      </w:pPr>
      <w:r>
        <w:rPr>
          <w:highlight w:val="none"/>
        </w:rPr>
        <w:t xml:space="preserve">На основании балльной оценки Заявок (с учетом весовых коэффициентов) Закупочная комиссия определяет рейтинг каждого Участника закупки.</w:t>
      </w:r>
      <w:r>
        <w:rPr>
          <w:highlight w:val="none"/>
        </w:rPr>
      </w:r>
      <w:r>
        <w:rPr>
          <w:highlight w:val="none"/>
        </w:rPr>
      </w:r>
    </w:p>
    <w:p>
      <w:pPr>
        <w:numPr>
          <w:ilvl w:val="1"/>
          <w:numId w:val="32"/>
        </w:numPr>
        <w:ind w:left="0" w:right="-165" w:firstLine="567"/>
        <w:jc w:val="both"/>
        <w:spacing w:after="0"/>
        <w:widowControl w:val="off"/>
        <w:rPr>
          <w:highlight w:val="none"/>
        </w:rPr>
      </w:pPr>
      <w:r>
        <w:rPr>
          <w:highlight w:val="none"/>
        </w:rPr>
        <w:t xml:space="preserve">Наивысшее место в итоговом рейтинге (ранжировке) с учетом весовых коэффициентов значимости получает Заявка, имеющая максимальный общий рейтинг предпочтительности Заявки (</w:t>
      </w:r>
      <w:r>
        <w:rPr>
          <w:bCs/>
          <w:highlight w:val="none"/>
        </w:rPr>
        <w:t xml:space="preserve">R</w:t>
      </w:r>
      <w:r>
        <w:rPr>
          <w:bCs/>
          <w:highlight w:val="none"/>
          <w:vertAlign w:val="subscript"/>
        </w:rPr>
        <w:t xml:space="preserve">i</w:t>
      </w:r>
      <w:r>
        <w:rPr>
          <w:bCs/>
          <w:highlight w:val="none"/>
        </w:rPr>
        <w:t xml:space="preserve">).</w:t>
      </w:r>
      <w:r>
        <w:rPr>
          <w:highlight w:val="none"/>
        </w:rPr>
      </w:r>
      <w:r>
        <w:rPr>
          <w:highlight w:val="none"/>
        </w:rPr>
      </w:r>
    </w:p>
    <w:p>
      <w:pPr>
        <w:numPr>
          <w:ilvl w:val="1"/>
          <w:numId w:val="32"/>
        </w:numPr>
        <w:ind w:left="0" w:right="-165" w:firstLine="567"/>
        <w:jc w:val="both"/>
        <w:spacing w:after="0"/>
        <w:widowControl w:val="off"/>
        <w:rPr>
          <w:highlight w:val="none"/>
        </w:rPr>
      </w:pPr>
      <w:r>
        <w:rPr>
          <w:highlight w:val="none"/>
        </w:rPr>
        <w:t xml:space="preserve">При осуществлении расчета значения по каждому критерию Заказчик вправе осуществлять расчет с точностью до двух знаков после запятой. Полученное значение итогового рейтинга используется для ранжирования заявок по степени предпочтительности.</w:t>
      </w:r>
      <w:r>
        <w:rPr>
          <w:highlight w:val="none"/>
        </w:rPr>
      </w:r>
      <w:r>
        <w:rPr>
          <w:highlight w:val="none"/>
        </w:rPr>
      </w:r>
    </w:p>
    <w:p>
      <w:pPr>
        <w:contextualSpacing/>
        <w:ind w:left="0" w:right="-165" w:firstLine="567"/>
        <w:jc w:val="both"/>
        <w:keepLines/>
        <w:spacing w:before="120" w:after="120"/>
      </w:pPr>
      <w:r>
        <w:rPr>
          <w:highlight w:val="none"/>
        </w:rPr>
        <w:t xml:space="preserve">В случае если итоговый рейтинг двух или более заявок будет одинаковым, победи</w:t>
      </w:r>
      <w:r>
        <w:t xml:space="preserve">телем закупки признается участник, заявка на участие в закупке которого поступила ранее других заявок.</w:t>
      </w:r>
      <w:r/>
    </w:p>
    <w:p>
      <w:pPr>
        <w:numPr>
          <w:ilvl w:val="1"/>
          <w:numId w:val="32"/>
        </w:numPr>
        <w:ind w:left="0" w:right="-165" w:firstLine="567"/>
        <w:jc w:val="both"/>
        <w:spacing w:after="0"/>
        <w:widowControl w:val="off"/>
      </w:pPr>
      <w:r>
        <w:t xml:space="preserve">В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  <w:r/>
    </w:p>
    <w:p>
      <w:pPr>
        <w:contextualSpacing/>
        <w:keepLines/>
        <w:spacing w:before="120" w:after="120"/>
      </w:pPr>
      <w:r/>
      <w:r/>
    </w:p>
    <w:p>
      <w:pPr>
        <w:contextualSpacing/>
        <w:keepLines/>
        <w:spacing w:before="120" w:after="120"/>
      </w:pPr>
      <w:r/>
      <w:r/>
    </w:p>
    <w:p>
      <w:pPr>
        <w:contextualSpacing/>
        <w:keepLines/>
        <w:spacing w:before="120" w:after="120"/>
        <w:sectPr>
          <w:footnotePr/>
          <w:endnotePr/>
          <w:type w:val="nextPage"/>
          <w:pgSz w:w="16838" w:h="11906" w:orient="landscape"/>
          <w:pgMar w:top="1134" w:right="902" w:bottom="567" w:left="1077" w:header="709" w:footer="709" w:gutter="0"/>
          <w:cols w:num="1" w:sep="0" w:space="708" w:equalWidth="1"/>
          <w:docGrid w:linePitch="360"/>
          <w:titlePg/>
        </w:sectPr>
      </w:pPr>
      <w:r/>
      <w:r/>
    </w:p>
    <w:p>
      <w:pPr>
        <w:pStyle w:val="1148"/>
        <w:numPr>
          <w:ilvl w:val="0"/>
          <w:numId w:val="4"/>
        </w:numPr>
        <w:ind w:left="0" w:firstLine="567"/>
        <w:pageBreakBefore/>
        <w:spacing w:before="0" w:after="0"/>
        <w:rPr>
          <w:rStyle w:val="1169"/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  <w:r/>
      <w:bookmarkStart w:id="360" w:name="_Toc45"/>
      <w:r/>
      <w:bookmarkStart w:id="226" w:name="_РАЗДЕЛ_I_4_ОБРАЗЦЫ_ФОРМ_И_ДОКУМЕНТО"/>
      <w:r/>
      <w:bookmarkStart w:id="227" w:name="_ОБРАЗЦЫ_ФОРМ_ДЛЯ"/>
      <w:r/>
      <w:bookmarkStart w:id="228" w:name="_Ref119427310"/>
      <w:r/>
      <w:bookmarkStart w:id="230" w:name="_Ref166101288"/>
      <w:r/>
      <w:bookmarkStart w:id="231" w:name="_Ref166101291"/>
      <w:r/>
      <w:bookmarkStart w:id="232" w:name="_Ref166158276"/>
      <w:r/>
      <w:bookmarkStart w:id="233" w:name="_Ref166158279"/>
      <w:r/>
      <w:bookmarkStart w:id="234" w:name="_Ref166329210"/>
      <w:r/>
      <w:bookmarkStart w:id="235" w:name="_Ref166329212"/>
      <w:r/>
      <w:bookmarkStart w:id="236" w:name="_Ref166329217"/>
      <w:r/>
      <w:bookmarkEnd w:id="226"/>
      <w:r/>
      <w:bookmarkEnd w:id="227"/>
      <w:r>
        <w:rPr>
          <w:rStyle w:val="1169"/>
          <w:rFonts w:ascii="Times New Roman" w:hAnsi="Times New Roman" w:cs="Times New Roman"/>
          <w:color w:val="auto"/>
          <w:sz w:val="24"/>
          <w:szCs w:val="24"/>
        </w:rPr>
        <w:t xml:space="preserve">ОБРАЗЦЫ ФОРМ ДЛЯ ЗАПОЛНЕНИЯ УЧАСТНИКАМИ ЗАКУПКИ</w:t>
      </w:r>
      <w:bookmarkEnd w:id="228"/>
      <w:r/>
      <w:bookmarkEnd w:id="230"/>
      <w:r/>
      <w:bookmarkEnd w:id="231"/>
      <w:r/>
      <w:bookmarkEnd w:id="232"/>
      <w:r/>
      <w:bookmarkEnd w:id="233"/>
      <w:r/>
      <w:bookmarkEnd w:id="234"/>
      <w:r/>
      <w:bookmarkEnd w:id="235"/>
      <w:r/>
      <w:bookmarkEnd w:id="236"/>
      <w:r>
        <w:rPr>
          <w:rStyle w:val="1169"/>
          <w:rFonts w:ascii="Times New Roman" w:hAnsi="Times New Roman" w:cs="Times New Roman"/>
          <w:b w:val="0"/>
          <w:bCs w:val="0"/>
          <w:color w:val="auto"/>
          <w:sz w:val="24"/>
          <w:szCs w:val="24"/>
        </w:rPr>
      </w:r>
      <w:bookmarkEnd w:id="360"/>
      <w:r>
        <w:rPr>
          <w:rStyle w:val="1169"/>
          <w:rFonts w:ascii="Times New Roman" w:hAnsi="Times New Roman" w:cs="Times New Roman"/>
          <w:b w:val="0"/>
          <w:bCs w:val="0"/>
          <w:color w:val="auto"/>
          <w:sz w:val="24"/>
          <w:szCs w:val="24"/>
        </w:rPr>
      </w:r>
      <w:r>
        <w:rPr>
          <w:rStyle w:val="1169"/>
          <w:rFonts w:ascii="Times New Roman" w:hAnsi="Times New Roman" w:cs="Times New Roman"/>
          <w:b w:val="0"/>
          <w:bCs w:val="0"/>
          <w:color w:val="auto"/>
          <w:sz w:val="24"/>
          <w:szCs w:val="24"/>
        </w:rPr>
      </w:r>
    </w:p>
    <w:p>
      <w:r/>
      <w:r/>
    </w:p>
    <w:p>
      <w:pPr>
        <w:pStyle w:val="1149"/>
        <w:rPr>
          <w:sz w:val="24"/>
          <w:szCs w:val="24"/>
        </w:rPr>
      </w:pPr>
      <w:r/>
      <w:bookmarkStart w:id="361" w:name="_Toc46"/>
      <w:r/>
      <w:bookmarkStart w:id="238" w:name="_ФОРМА_1._ТЕХНИЧЕСКОЕ"/>
      <w:r/>
      <w:bookmarkStart w:id="239" w:name="_ФОРМА_ТЕХНИЧЕСКОЕ_ПРЕДЛОЖЕНИЕ"/>
      <w:r/>
      <w:bookmarkEnd w:id="238"/>
      <w:r/>
      <w:bookmarkEnd w:id="239"/>
      <w:r>
        <w:rPr>
          <w:sz w:val="24"/>
          <w:szCs w:val="24"/>
        </w:rPr>
        <w:t xml:space="preserve">ФОРМА</w:t>
      </w:r>
      <w:r>
        <w:rPr>
          <w:sz w:val="24"/>
          <w:szCs w:val="24"/>
        </w:rPr>
        <w:t xml:space="preserve"> ТЕХНИЧЕСКОЕ ПРЕДЛОЖЕНИЕ</w:t>
      </w:r>
      <w:r>
        <w:rPr>
          <w:sz w:val="24"/>
          <w:szCs w:val="24"/>
        </w:rPr>
      </w:r>
      <w:bookmarkEnd w:id="361"/>
      <w:r>
        <w:rPr>
          <w:sz w:val="24"/>
          <w:szCs w:val="24"/>
        </w:rPr>
      </w:r>
      <w:r>
        <w:rPr>
          <w:sz w:val="24"/>
          <w:szCs w:val="24"/>
        </w:rPr>
      </w:r>
    </w:p>
    <w:p>
      <w:r/>
      <w:r/>
    </w:p>
    <w:p>
      <w:pPr>
        <w:jc w:val="center"/>
        <w:spacing w:after="0"/>
        <w:rPr>
          <w:b/>
        </w:rPr>
      </w:pPr>
      <w:r>
        <w:rPr>
          <w:b/>
        </w:rPr>
        <w:t xml:space="preserve">Предложение участника в отношении предмета закупки</w:t>
      </w:r>
      <w:r>
        <w:rPr>
          <w:b/>
        </w:rPr>
      </w:r>
      <w:r>
        <w:rPr>
          <w:b/>
        </w:rPr>
      </w:r>
    </w:p>
    <w:p>
      <w:pPr>
        <w:jc w:val="center"/>
        <w:spacing w:after="0"/>
        <w:rPr>
          <w:b/>
        </w:rPr>
      </w:pPr>
      <w:r>
        <w:rPr>
          <w:b/>
        </w:rPr>
        <w:t xml:space="preserve">Техническое предложение на выполнение работ/оказание услуг</w:t>
      </w:r>
      <w:r>
        <w:rPr>
          <w:b/>
        </w:rPr>
      </w:r>
      <w:r>
        <w:rPr>
          <w:b/>
        </w:rPr>
      </w:r>
    </w:p>
    <w:p>
      <w:pPr>
        <w:jc w:val="center"/>
      </w:pPr>
      <w:r/>
      <w:r/>
    </w:p>
    <w:p>
      <w:pPr>
        <w:jc w:val="left"/>
        <w:spacing w:after="0"/>
      </w:pPr>
      <w:r>
        <w:t xml:space="preserve">Наименование закупки _______________________________________ Лот № _________</w:t>
      </w:r>
      <w:r/>
    </w:p>
    <w:p>
      <w:pPr>
        <w:spacing w:after="0"/>
      </w:pPr>
      <w:r>
        <w:t xml:space="preserve">Номер извещения о проведении закупки в ЕИС: _________________________________</w:t>
      </w:r>
      <w:r/>
    </w:p>
    <w:p>
      <w:pPr>
        <w:jc w:val="left"/>
        <w:spacing w:after="0"/>
      </w:pPr>
      <w:r/>
      <w:r/>
    </w:p>
    <w:p>
      <w:pPr>
        <w:contextualSpacing/>
        <w:tabs>
          <w:tab w:val="left" w:pos="426" w:leader="none"/>
        </w:tabs>
        <w:rPr>
          <w:bCs/>
        </w:rPr>
      </w:pPr>
      <w:r>
        <w:rPr>
          <w:bCs/>
        </w:rPr>
        <w:tab/>
        <w:t xml:space="preserve">Настоящим выражаем свое согласие на выполнение работ/оказание услуг в полном соответствии с документацией о закупке, в том числе в соответствии с требованиями «ТЕХНИЧЕСК</w:t>
      </w:r>
      <w:r>
        <w:rPr>
          <w:bCs/>
        </w:rPr>
        <w:t xml:space="preserve">ОЙ ЧАСТИ</w:t>
      </w:r>
      <w:r>
        <w:rPr>
          <w:bCs/>
        </w:rPr>
        <w:t xml:space="preserve">» и «ПРОЕКТ</w:t>
      </w:r>
      <w:r>
        <w:rPr>
          <w:bCs/>
        </w:rPr>
        <w:t xml:space="preserve">А</w:t>
      </w:r>
      <w:r>
        <w:rPr>
          <w:bCs/>
        </w:rPr>
        <w:t xml:space="preserve"> ДОГОВОРА» документации о закупке.  </w:t>
      </w:r>
      <w:r>
        <w:rPr>
          <w:bCs/>
        </w:rPr>
      </w:r>
      <w:r>
        <w:rPr>
          <w:bCs/>
        </w:rPr>
      </w:r>
    </w:p>
    <w:p>
      <w:pPr>
        <w:contextualSpacing/>
        <w:tabs>
          <w:tab w:val="left" w:pos="426" w:leader="none"/>
        </w:tabs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spacing w:before="120"/>
        <w:rPr>
          <w:color w:val="0000cc"/>
        </w:rPr>
      </w:pPr>
      <w:r>
        <w:rPr>
          <w:color w:val="0000cc"/>
        </w:rPr>
        <w:t xml:space="preserve">Приложение: Техническое предложение на выполнение работ/ оказание услуг в редактируемом формате на ____ л.</w:t>
      </w:r>
      <w:r>
        <w:rPr>
          <w:color w:val="0000cc"/>
        </w:rPr>
      </w:r>
      <w:r>
        <w:rPr>
          <w:color w:val="0000cc"/>
        </w:rPr>
      </w:r>
    </w:p>
    <w:p>
      <w:pPr>
        <w:jc w:val="left"/>
        <w:spacing w:after="0"/>
      </w:pPr>
      <w:r/>
      <w:r/>
    </w:p>
    <w:p>
      <w:pPr>
        <w:jc w:val="center"/>
        <w:spacing w:after="0"/>
      </w:pPr>
      <w:r/>
      <w:r/>
    </w:p>
    <w:p>
      <w:pPr>
        <w:spacing w:after="0"/>
        <w:rPr>
          <w:b/>
        </w:rPr>
      </w:pPr>
      <w:r>
        <w:rPr>
          <w:b/>
        </w:rPr>
        <w:t xml:space="preserve">Инструкции по заполнению</w:t>
      </w:r>
      <w:r>
        <w:rPr>
          <w:b/>
        </w:rPr>
        <w:t xml:space="preserve">:</w:t>
      </w:r>
      <w:r>
        <w:rPr>
          <w:b/>
        </w:rPr>
      </w:r>
      <w:r>
        <w:rPr>
          <w:b/>
        </w:rPr>
      </w:r>
    </w:p>
    <w:p>
      <w:pPr>
        <w:numPr>
          <w:ilvl w:val="0"/>
          <w:numId w:val="14"/>
        </w:numPr>
        <w:ind w:left="426"/>
        <w:spacing w:after="0"/>
      </w:pPr>
      <w:r>
        <w:t xml:space="preserve">данные инструкции не следует воспроизводить в документах, подготовленных Участником закупки;</w:t>
      </w:r>
      <w:r/>
    </w:p>
    <w:p>
      <w:pPr>
        <w:numPr>
          <w:ilvl w:val="0"/>
          <w:numId w:val="14"/>
        </w:numPr>
        <w:ind w:left="426"/>
        <w:spacing w:after="0"/>
      </w:pPr>
      <w:r>
        <w:t xml:space="preserve">участник закупки приводит наименование процедуры закупки, номер лота (в случае проведения многолотовой закупки), номер извещения о проведении закупки в ЕИС;</w:t>
      </w:r>
      <w:r/>
    </w:p>
    <w:p>
      <w:pPr>
        <w:numPr>
          <w:ilvl w:val="0"/>
          <w:numId w:val="14"/>
        </w:numPr>
        <w:contextualSpacing/>
        <w:ind w:left="426"/>
        <w:spacing w:after="0"/>
        <w:tabs>
          <w:tab w:val="left" w:pos="426" w:leader="none"/>
        </w:tabs>
        <w:rPr>
          <w:bCs/>
        </w:rPr>
      </w:pPr>
      <w:r>
        <w:t xml:space="preserve">в техническом предложении на выполнение работ Участником закупки выражается </w:t>
      </w:r>
      <w:r>
        <w:rPr>
          <w:bCs/>
        </w:rPr>
        <w:t xml:space="preserve">согласие на выполнение работ в полном соответствии с документацией о закупке, в том числе в соответствии с требованиями «ТЕХНИЧЕСК</w:t>
      </w:r>
      <w:r>
        <w:rPr>
          <w:bCs/>
        </w:rPr>
        <w:t xml:space="preserve">ОЙ</w:t>
      </w:r>
      <w:r>
        <w:rPr>
          <w:bCs/>
        </w:rPr>
        <w:t xml:space="preserve"> ЧАСТ</w:t>
      </w:r>
      <w:r>
        <w:rPr>
          <w:bCs/>
        </w:rPr>
        <w:t xml:space="preserve">И</w:t>
      </w:r>
      <w:r>
        <w:rPr>
          <w:bCs/>
        </w:rPr>
        <w:t xml:space="preserve">» и «ПРОЕКТ</w:t>
      </w:r>
      <w:r>
        <w:rPr>
          <w:bCs/>
        </w:rPr>
        <w:t xml:space="preserve">А</w:t>
      </w:r>
      <w:r>
        <w:rPr>
          <w:bCs/>
        </w:rPr>
        <w:t xml:space="preserve"> ДОГОВОРА» документации о закупке. В случае, если участник предлагает какие-либо изменения либо дополнения относительно требований, изложенных в «ТЕХНИЧЕСК</w:t>
      </w:r>
      <w:r>
        <w:rPr>
          <w:bCs/>
        </w:rPr>
        <w:t xml:space="preserve">ОЙ</w:t>
      </w:r>
      <w:r>
        <w:rPr>
          <w:bCs/>
        </w:rPr>
        <w:t xml:space="preserve"> ЧАСТ</w:t>
      </w:r>
      <w:r>
        <w:rPr>
          <w:bCs/>
        </w:rPr>
        <w:t xml:space="preserve">И</w:t>
      </w:r>
      <w:r>
        <w:rPr>
          <w:bCs/>
        </w:rPr>
        <w:t xml:space="preserve">» и «ПРОЕКТ</w:t>
      </w:r>
      <w:r>
        <w:rPr>
          <w:bCs/>
        </w:rPr>
        <w:t xml:space="preserve">Е</w:t>
      </w:r>
      <w:r>
        <w:rPr>
          <w:bCs/>
        </w:rPr>
        <w:t xml:space="preserve"> ДОГОВОРА», участник должен </w:t>
      </w:r>
      <w:r>
        <w:t xml:space="preserve">подробно и развернуто указать об этом в техническом предложении. В последнем случае в техническом предложении указывается фраза: «</w:t>
      </w:r>
      <w:r>
        <w:rPr>
          <w:bCs/>
        </w:rPr>
        <w:t xml:space="preserve">Настоящим выражаем свое согласие на выполнение работ в соответствии с документацией о закупке, в том числе в соответствии с требованиями «ТЕХНИЧЕСК</w:t>
      </w:r>
      <w:r>
        <w:rPr>
          <w:bCs/>
        </w:rPr>
        <w:t xml:space="preserve">ОЙ </w:t>
      </w:r>
      <w:r>
        <w:rPr>
          <w:bCs/>
        </w:rPr>
        <w:t xml:space="preserve">ЧАСТ</w:t>
      </w:r>
      <w:r>
        <w:rPr>
          <w:bCs/>
        </w:rPr>
        <w:t xml:space="preserve">И</w:t>
      </w:r>
      <w:r>
        <w:rPr>
          <w:bCs/>
        </w:rPr>
        <w:t xml:space="preserve">» и «ПРОЕКТ</w:t>
      </w:r>
      <w:r>
        <w:rPr>
          <w:bCs/>
        </w:rPr>
        <w:t xml:space="preserve">А</w:t>
      </w:r>
      <w:r>
        <w:rPr>
          <w:bCs/>
        </w:rPr>
        <w:t xml:space="preserve"> ДОГОВОРА» документации о закупке с учетом следующих предложений:…(далее </w:t>
      </w:r>
      <w:r>
        <w:t xml:space="preserve">подробно и развернуто указываются предложения</w:t>
      </w:r>
      <w:r>
        <w:rPr>
          <w:bCs/>
        </w:rPr>
        <w:t xml:space="preserve">)  </w:t>
      </w:r>
      <w:r>
        <w:rPr>
          <w:bCs/>
        </w:rPr>
      </w:r>
      <w:r>
        <w:rPr>
          <w:bCs/>
        </w:rPr>
      </w:r>
    </w:p>
    <w:p>
      <w:pPr>
        <w:numPr>
          <w:ilvl w:val="0"/>
          <w:numId w:val="14"/>
        </w:numPr>
        <w:ind w:left="426"/>
        <w:spacing w:after="0"/>
      </w:pPr>
      <w:r>
        <w:t xml:space="preserve">Техническое предложение на выполнение работ и поставок будет служить основой для подготовки соот</w:t>
      </w:r>
      <w:r>
        <w:t xml:space="preserve">ветствующего приложения к Договору.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так, чтобы ее можно было с минимальными изменениями включить в Договор.</w:t>
      </w:r>
      <w:r/>
    </w:p>
    <w:p>
      <w:pPr>
        <w:numPr>
          <w:ilvl w:val="0"/>
          <w:numId w:val="14"/>
        </w:numPr>
        <w:ind w:left="426"/>
        <w:spacing w:after="0"/>
      </w:pPr>
      <w:r>
        <w:rPr>
          <w:b/>
        </w:rPr>
        <w:t xml:space="preserve">Участник закупки к Техническому предложению должен приложить файл технического предложения, в выполненный в редактируемом формате.</w:t>
      </w:r>
      <w:r/>
    </w:p>
    <w:p>
      <w:pPr>
        <w:pStyle w:val="1311"/>
        <w:numPr>
          <w:ilvl w:val="0"/>
          <w:numId w:val="14"/>
        </w:numPr>
        <w:ind w:left="426"/>
        <w:jc w:val="both"/>
        <w:sectPr>
          <w:footnotePr/>
          <w:endnotePr/>
          <w:type w:val="nextPage"/>
          <w:pgSz w:w="11906" w:h="16838" w:orient="portrait"/>
          <w:pgMar w:top="902" w:right="567" w:bottom="1077" w:left="1134" w:header="709" w:footer="709" w:gutter="0"/>
          <w:cols w:num="1" w:sep="0" w:space="708" w:equalWidth="1"/>
          <w:docGrid w:linePitch="360"/>
          <w:titlePg/>
        </w:sectPr>
      </w:pPr>
      <w:r/>
      <w:r/>
    </w:p>
    <w:p>
      <w:pPr>
        <w:pStyle w:val="1149"/>
        <w:ind w:left="0" w:firstLine="0"/>
        <w:tabs>
          <w:tab w:val="num" w:pos="0" w:leader="none"/>
          <w:tab w:val="clear" w:pos="576" w:leader="none"/>
        </w:tabs>
        <w:rPr>
          <w:sz w:val="24"/>
          <w:szCs w:val="24"/>
        </w:rPr>
      </w:pPr>
      <w:r/>
      <w:bookmarkStart w:id="362" w:name="_Toc47"/>
      <w:r/>
      <w:bookmarkStart w:id="245" w:name="_ФОРМА_2._ГРАФИК"/>
      <w:r/>
      <w:bookmarkStart w:id="246" w:name="_ФОРМА_3._ОПИСЬ"/>
      <w:r/>
      <w:bookmarkStart w:id="247" w:name="_ФОРМА_4._ПИСЬМО"/>
      <w:r/>
      <w:bookmarkEnd w:id="245"/>
      <w:r/>
      <w:bookmarkEnd w:id="246"/>
      <w:r/>
      <w:bookmarkEnd w:id="247"/>
      <w:r>
        <w:rPr>
          <w:sz w:val="24"/>
          <w:szCs w:val="24"/>
        </w:rPr>
        <w:t xml:space="preserve">ФОРМА П</w:t>
      </w:r>
      <w:r>
        <w:rPr>
          <w:sz w:val="24"/>
          <w:szCs w:val="24"/>
        </w:rPr>
        <w:t xml:space="preserve">исьмо о подаче оферты</w:t>
      </w:r>
      <w:r>
        <w:rPr>
          <w:sz w:val="24"/>
          <w:szCs w:val="24"/>
        </w:rPr>
      </w:r>
      <w:bookmarkEnd w:id="362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rPr>
          <w:highlight w:val="none"/>
        </w:rPr>
      </w:pPr>
      <w:r>
        <w:t xml:space="preserve"> </w:t>
      </w:r>
      <w:r>
        <w:t xml:space="preserve">(</w:t>
      </w:r>
      <w:r>
        <w:rPr>
          <w:i/>
        </w:rPr>
        <w:t xml:space="preserve">документ изготавливается на фирменном бланке организации участника закупки (для участников юридических лиц</w:t>
      </w:r>
      <w:r>
        <w:t xml:space="preserve">)</w:t>
      </w:r>
      <w:r>
        <w:rPr>
          <w:highlight w:val="none"/>
        </w:rPr>
      </w:r>
      <w:r>
        <w:rPr>
          <w:highlight w:val="none"/>
        </w:rPr>
      </w:r>
    </w:p>
    <w:p>
      <w:pPr>
        <w:jc w:val="center"/>
      </w:pPr>
      <w:r>
        <w:rPr>
          <w:highlight w:val="none"/>
        </w:rPr>
      </w:r>
      <w:r>
        <w:rPr>
          <w:highlight w:val="none"/>
        </w:rPr>
      </w:r>
      <w:r/>
    </w:p>
    <w:p>
      <w:pPr>
        <w:jc w:val="center"/>
        <w:rPr>
          <w:b/>
        </w:rPr>
      </w:pPr>
      <w:r>
        <w:rPr>
          <w:b/>
        </w:rPr>
        <w:t xml:space="preserve">Письмо о подаче оферты</w:t>
      </w:r>
      <w:r>
        <w:rPr>
          <w:b/>
        </w:rPr>
      </w:r>
      <w:r>
        <w:rPr>
          <w:b/>
        </w:rPr>
      </w:r>
    </w:p>
    <w:p>
      <w:pPr>
        <w:ind w:right="-1"/>
        <w:spacing w:after="0"/>
        <w:tabs>
          <w:tab w:val="left" w:pos="9355" w:leader="none"/>
        </w:tabs>
      </w:pPr>
      <w:r>
        <w:t xml:space="preserve">«_____»___________ 20</w:t>
      </w:r>
      <w:r>
        <w:t xml:space="preserve">2</w:t>
      </w:r>
      <w:r>
        <w:t xml:space="preserve">_ г.</w:t>
      </w:r>
      <w:r/>
    </w:p>
    <w:p>
      <w:pPr>
        <w:ind w:right="-1"/>
        <w:spacing w:after="0"/>
        <w:tabs>
          <w:tab w:val="left" w:pos="9355" w:leader="none"/>
        </w:tabs>
      </w:pPr>
      <w:r>
        <w:t xml:space="preserve">№__________</w:t>
      </w:r>
      <w:r/>
    </w:p>
    <w:p>
      <w:pPr>
        <w:jc w:val="left"/>
      </w:pPr>
      <w:r/>
      <w:r/>
    </w:p>
    <w:p>
      <w:pPr>
        <w:jc w:val="center"/>
      </w:pPr>
      <w:r>
        <w:rPr>
          <w:iCs/>
        </w:rPr>
        <w:t xml:space="preserve">Уважаемые господа!</w:t>
      </w:r>
      <w:r/>
    </w:p>
    <w:p>
      <w:pPr>
        <w:ind w:firstLine="567"/>
        <w:spacing w:before="120"/>
        <w:rPr>
          <w:iCs/>
        </w:rPr>
      </w:pPr>
      <w:r>
        <w:rPr>
          <w:iCs/>
        </w:rPr>
        <w:t xml:space="preserve">Изучив извещение и документацию о закупке(включая все изменения и разъяснения к ней), размещенные в единой информационной системе в сфере закупок по адресу в сети Интернет «www.zakupki.gov.ru» (далее – ЕИС, Официальный</w:t>
      </w:r>
      <w:r>
        <w:rPr>
          <w:iCs/>
        </w:rPr>
        <w:t xml:space="preserve"> сайт) от «    » __________ </w:t>
      </w:r>
      <w:r>
        <w:rPr>
          <w:iCs/>
        </w:rPr>
        <w:t xml:space="preserve">202</w:t>
      </w:r>
      <w:r>
        <w:rPr>
          <w:iCs/>
        </w:rPr>
        <w:t xml:space="preserve">_</w:t>
      </w:r>
      <w:r>
        <w:rPr>
          <w:iCs/>
        </w:rPr>
        <w:t xml:space="preserve"> года (извещение №_____________), и безоговорочно принимая установленные в них требования и условия участия в закупке, в том числе в отношении технического задания, проекта договора, </w:t>
      </w:r>
      <w:r>
        <w:rPr>
          <w:iCs/>
        </w:rPr>
        <w:t xml:space="preserve">условий и порядка платежей установленных в договоре</w:t>
      </w:r>
      <w:r>
        <w:rPr>
          <w:iCs/>
        </w:rPr>
        <w:t xml:space="preserve">, </w:t>
      </w:r>
      <w:r>
        <w:rPr>
          <w:iCs/>
        </w:rPr>
        <w:t xml:space="preserve">условия о подсудности разрешения споров по договору, порядка заключения договора, заключаемого по итогам закупки, мы, являясь участником процедуры закупки / [или]лидером коллективного участника [выбрать необходимое], предлагаем заключить Договор на:</w:t>
      </w:r>
      <w:r>
        <w:rPr>
          <w:iCs/>
        </w:rPr>
      </w:r>
      <w:r>
        <w:rPr>
          <w:iCs/>
        </w:rPr>
      </w:r>
    </w:p>
    <w:p>
      <w:pPr>
        <w:spacing w:after="0"/>
        <w:rPr>
          <w:iCs/>
        </w:rPr>
      </w:pPr>
      <w:r>
        <w:rPr>
          <w:iCs/>
        </w:rPr>
        <w:t xml:space="preserve">_________________________________________________________</w:t>
      </w:r>
      <w:r>
        <w:rPr>
          <w:bCs/>
          <w:i/>
          <w:spacing w:val="-6"/>
        </w:rPr>
        <w:t xml:space="preserve">[</w:t>
      </w:r>
      <w:r>
        <w:rPr>
          <w:bCs/>
          <w:i/>
        </w:rPr>
        <w:t xml:space="preserve">указывается предмет договора в соответствии с п. </w:t>
      </w:r>
      <w:r>
        <w:rPr>
          <w:bCs/>
          <w:i/>
        </w:rPr>
        <w:t xml:space="preserve">3</w:t>
      </w:r>
      <w:r>
        <w:rPr>
          <w:bCs/>
          <w:i/>
        </w:rPr>
        <w:t xml:space="preserve"> части II «ИНФОРМАЦИОННАЯ КАРТА ЗАКУПКИ»</w:t>
      </w:r>
      <w:r>
        <w:rPr>
          <w:bCs/>
          <w:i/>
          <w:spacing w:val="-6"/>
        </w:rPr>
        <w:t xml:space="preserve">]</w:t>
      </w:r>
      <w:r>
        <w:rPr>
          <w:iCs/>
        </w:rPr>
      </w:r>
      <w:r>
        <w:rPr>
          <w:iCs/>
        </w:rPr>
      </w:r>
    </w:p>
    <w:p>
      <w:pPr>
        <w:ind w:firstLine="426"/>
        <w:spacing w:before="120" w:after="0"/>
        <w:rPr>
          <w:b/>
        </w:rPr>
      </w:pPr>
      <w:r>
        <w:rPr>
          <w:b/>
        </w:rPr>
        <w:t xml:space="preserve">Настоящая заявка имеет правовой статус оферты и действует в течение </w:t>
      </w:r>
      <w:r>
        <w:rPr>
          <w:b/>
        </w:rPr>
        <w:t xml:space="preserve">90</w:t>
      </w:r>
      <w:r>
        <w:rPr>
          <w:b/>
        </w:rPr>
        <w:t xml:space="preserve"> (</w:t>
      </w:r>
      <w:r>
        <w:rPr>
          <w:b/>
        </w:rPr>
        <w:t xml:space="preserve">девяносто</w:t>
      </w:r>
      <w:r>
        <w:rPr>
          <w:b/>
        </w:rPr>
        <w:t xml:space="preserve">) календарных дней со дня, следующего за днем окончания подачи заявок.</w:t>
      </w:r>
      <w:r>
        <w:rPr>
          <w:b/>
        </w:rPr>
      </w:r>
      <w:r>
        <w:rPr>
          <w:b/>
        </w:rPr>
      </w:r>
    </w:p>
    <w:p>
      <w:pPr>
        <w:ind w:firstLine="426"/>
        <w:spacing w:before="120" w:after="0"/>
      </w:pPr>
      <w:r>
        <w:rPr>
          <w:iCs/>
        </w:rPr>
        <w:t xml:space="preserve">Данная заявка подается с пониманием того, что </w:t>
      </w:r>
      <w:r>
        <w:t xml:space="preserve">вы не отвечаете и не имеете обязательств по нашим расходам, связанным с подготовкой и подачей данной заявки за исключением случаев, прямо оговоренных в законодательстве.</w:t>
      </w:r>
      <w:r/>
    </w:p>
    <w:p>
      <w:pPr>
        <w:ind w:firstLine="426"/>
      </w:pPr>
      <w:r>
        <w:t xml:space="preserve">______________ </w:t>
      </w:r>
      <w:r>
        <w:t xml:space="preserve">(</w:t>
      </w:r>
      <w:r>
        <w:rPr>
          <w:i/>
        </w:rPr>
        <w:t xml:space="preserve">Наименование Участника закупки, при подаче Конкурсной заявки коллективным участником указывается Лидер и состав коллективного участника</w:t>
      </w:r>
      <w:r>
        <w:t xml:space="preserve">)</w:t>
      </w:r>
      <w:r>
        <w:rPr>
          <w:iCs/>
        </w:rPr>
        <w:t xml:space="preserve"> </w:t>
      </w:r>
      <w:r>
        <w:t xml:space="preserve">при подаче настоящей оферты принимает на себя следующие обязательства, связанные с подачей заявки: </w:t>
      </w:r>
      <w:r/>
    </w:p>
    <w:p>
      <w:pPr>
        <w:numPr>
          <w:ilvl w:val="0"/>
          <w:numId w:val="11"/>
        </w:numPr>
        <w:ind w:left="851"/>
        <w:spacing w:after="0"/>
        <w:widowControl w:val="off"/>
        <w:tabs>
          <w:tab w:val="left" w:pos="1080" w:leader="none"/>
        </w:tabs>
      </w:pPr>
      <w:r>
        <w:t xml:space="preserve">не изменять (не вносить изменения) и/или не отзывать свою заявку в течение срока ее действия после истечения срока окончания подачи заявок;</w:t>
      </w:r>
      <w:r/>
    </w:p>
    <w:p>
      <w:pPr>
        <w:numPr>
          <w:ilvl w:val="0"/>
          <w:numId w:val="11"/>
        </w:numPr>
        <w:ind w:left="851"/>
        <w:spacing w:after="0"/>
        <w:widowControl w:val="off"/>
        <w:tabs>
          <w:tab w:val="left" w:pos="1080" w:leader="none"/>
        </w:tabs>
      </w:pPr>
      <w:r>
        <w:t xml:space="preserve">предоставлять достоверные и неискаженные документы, сведения и/или информацию, приведенные в составе заявки; </w:t>
      </w:r>
      <w:r/>
    </w:p>
    <w:p>
      <w:pPr>
        <w:numPr>
          <w:ilvl w:val="0"/>
          <w:numId w:val="11"/>
        </w:numPr>
        <w:ind w:left="851"/>
        <w:spacing w:after="0"/>
        <w:widowControl w:val="off"/>
        <w:tabs>
          <w:tab w:val="left" w:pos="1080" w:leader="none"/>
        </w:tabs>
      </w:pPr>
      <w:r>
        <w:t xml:space="preserve">заключить Договор в установленном в документации</w:t>
      </w:r>
      <w:r>
        <w:t xml:space="preserve"> о закупке</w:t>
      </w:r>
      <w:r>
        <w:t xml:space="preserve"> порядке, в случае признания ____________________</w:t>
      </w:r>
      <w:r>
        <w:t xml:space="preserve"> </w:t>
      </w:r>
      <w:r>
        <w:t xml:space="preserve">(</w:t>
      </w:r>
      <w:r>
        <w:rPr>
          <w:i/>
        </w:rPr>
        <w:t xml:space="preserve">Наименование Участника закупки, при подаче Конкурсной заявки коллективным участником указывается Лидер и состав коллективного участника</w:t>
      </w:r>
      <w:r>
        <w:t xml:space="preserve">)</w:t>
      </w:r>
      <w:r>
        <w:t xml:space="preserve"> Победителем, либо единственным Участником, соответствующим требованиям документации.</w:t>
      </w:r>
      <w:r/>
    </w:p>
    <w:p>
      <w:pPr>
        <w:ind w:firstLine="567"/>
        <w:spacing w:before="120" w:after="0"/>
        <w:rPr>
          <w:iCs/>
        </w:rPr>
      </w:pPr>
      <w:r>
        <w:rPr>
          <w:iCs/>
        </w:rPr>
        <w:t xml:space="preserve">Мы подтверждаем свое согласие участвовать в вышеуказанной закупке на условиях, установленных документацией о закупке, регламентом ЭТП и Положением о закупке, а также выполнить работы </w:t>
      </w:r>
      <w:r>
        <w:rPr>
          <w:iCs/>
        </w:rPr>
        <w:t xml:space="preserve">на условиях проекта договора, представленного в составе документации о закупке, со всеми приложениями к нему</w:t>
      </w:r>
      <w:r>
        <w:rPr>
          <w:iCs/>
        </w:rPr>
        <w:t xml:space="preserve">.</w:t>
      </w:r>
      <w:r>
        <w:rPr>
          <w:iCs/>
        </w:rPr>
      </w:r>
      <w:r>
        <w:rPr>
          <w:iCs/>
        </w:rPr>
      </w:r>
    </w:p>
    <w:p>
      <w:pPr>
        <w:ind w:firstLine="567"/>
        <w:spacing w:before="120" w:after="0"/>
        <w:rPr>
          <w:iCs/>
        </w:rPr>
      </w:pPr>
      <w:r>
        <w:rPr>
          <w:iCs/>
        </w:rPr>
        <w:t xml:space="preserve">Настоящим подтверждаем, что в отношении </w:t>
      </w:r>
      <w:r>
        <w:t xml:space="preserve">меня </w:t>
      </w:r>
      <w:r>
        <w:rPr>
          <w:iCs/>
        </w:rPr>
        <w:t xml:space="preserve">[</w:t>
      </w:r>
      <w:r>
        <w:rPr>
          <w:shd w:val="clear" w:color="auto" w:fill="d9d9d9" w:themeFill="background1" w:themeFillShade="D9"/>
        </w:rPr>
        <w:t xml:space="preserve">для физических лиц</w:t>
      </w:r>
      <w:r>
        <w:rPr>
          <w:iCs/>
        </w:rPr>
        <w:t xml:space="preserve">]</w:t>
      </w:r>
      <w:r>
        <w:t xml:space="preserve"> / </w:t>
      </w:r>
      <w:r>
        <w:rPr>
          <w:iCs/>
        </w:rPr>
        <w:t xml:space="preserve">нашей организации[</w:t>
      </w:r>
      <w:r>
        <w:rPr>
          <w:shd w:val="clear" w:color="auto" w:fill="d9d9d9" w:themeFill="background1" w:themeFillShade="D9"/>
        </w:rPr>
        <w:t xml:space="preserve">для юридических лиц</w:t>
      </w:r>
      <w:r>
        <w:rPr>
          <w:iCs/>
        </w:rPr>
        <w:t xml:space="preserve">]</w:t>
      </w:r>
      <w:r>
        <w:rPr>
          <w:iCs/>
        </w:rPr>
        <w:t xml:space="preserve"> </w:t>
      </w:r>
      <w:r>
        <w:rPr>
          <w:iCs/>
        </w:rPr>
        <w:t xml:space="preserve">не проводится процедура ликвидации, отсутствует решение арбитражного суда о признании</w:t>
      </w:r>
      <w:r>
        <w:rPr>
          <w:iCs/>
        </w:rPr>
        <w:t xml:space="preserve"> несостоятельным (банкротом) </w:t>
      </w:r>
      <w:r>
        <w:t xml:space="preserve">или об открытии конкурсного производства</w:t>
      </w:r>
      <w:r>
        <w:rPr>
          <w:iCs/>
        </w:rPr>
        <w:t xml:space="preserve">, деятельность не приостановлена, а также, что размер задолженности по налогам, сборам и иным обязательным платежам в бюджеты </w:t>
      </w:r>
      <w:r>
        <w:t xml:space="preserve">бюджетной системы Российской Федерации</w:t>
      </w:r>
      <w:r>
        <w:rPr>
          <w:iCs/>
        </w:rPr>
        <w:t xml:space="preserve"> за прошедший календарный год не превышает 25%(двадцати пяти процентов) балансовой стоимости активов по данным бухгалтерской отчетности за последний завершенный отчетный период.</w:t>
      </w:r>
      <w:r>
        <w:rPr>
          <w:iCs/>
        </w:rPr>
      </w:r>
      <w:r>
        <w:rPr>
          <w:iCs/>
        </w:rPr>
      </w:r>
    </w:p>
    <w:p>
      <w:pPr>
        <w:ind w:firstLine="567"/>
        <w:spacing w:before="120" w:after="0"/>
      </w:pPr>
      <w:r>
        <w:t xml:space="preserve">Также подтверждаем отсутствие у меня </w:t>
      </w:r>
      <w:r>
        <w:rPr>
          <w:iCs/>
        </w:rPr>
        <w:t xml:space="preserve">[</w:t>
      </w:r>
      <w:r>
        <w:rPr>
          <w:shd w:val="clear" w:color="auto" w:fill="d9d9d9" w:themeFill="background1" w:themeFillShade="D9"/>
        </w:rPr>
        <w:t xml:space="preserve">для физических лиц</w:t>
      </w:r>
      <w:r>
        <w:rPr>
          <w:iCs/>
        </w:rPr>
        <w:t xml:space="preserve">]</w:t>
      </w:r>
      <w:r>
        <w:t xml:space="preserve"> / у руководителя, членов коллегиального исполнительного органа или главного бухгалтера </w:t>
      </w:r>
      <w:r>
        <w:rPr>
          <w:iCs/>
        </w:rPr>
        <w:t xml:space="preserve">нашей организации[</w:t>
      </w:r>
      <w:r>
        <w:rPr>
          <w:shd w:val="clear" w:color="auto" w:fill="d9d9d9" w:themeFill="background1" w:themeFillShade="D9"/>
        </w:rPr>
        <w:t xml:space="preserve">для юридических лиц</w:t>
      </w:r>
      <w:r>
        <w:rPr>
          <w:iCs/>
        </w:rPr>
        <w:t xml:space="preserve">]</w:t>
      </w:r>
      <w:r>
        <w:rPr>
          <w:iCs/>
        </w:rPr>
        <w:t xml:space="preserve">, </w:t>
      </w:r>
      <w:r>
        <w:t xml:space="preserve">ограничения</w:t>
      </w:r>
      <w:r>
        <w:t xml:space="preserve"> или лишения дееспособности, неснятой или непогашенной судимости за преступления в сфере экономики, а</w:t>
      </w:r>
      <w:r>
        <w:t xml:space="preserve">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исполнением договора, и административного наказания в виде дисквалификации.</w:t>
      </w:r>
      <w:r/>
    </w:p>
    <w:p>
      <w:pPr>
        <w:ind w:firstLine="567"/>
        <w:spacing w:before="120" w:after="0"/>
      </w:pPr>
      <w:r>
        <w:t xml:space="preserve">В соответствии с обязательными требованиями к участникам закупки подтверждаем наличие у нас специальных допусков, разрешений, лицензий и прочих разрешительных документов в соответствии с законодательством для исполнения обязательств по предмету договора</w:t>
      </w:r>
      <w:r>
        <w:t xml:space="preserve">.</w:t>
      </w:r>
      <w:r/>
    </w:p>
    <w:p>
      <w:pPr>
        <w:ind w:firstLine="567"/>
        <w:spacing w:before="120" w:after="0"/>
      </w:pPr>
      <w:r>
        <w:t xml:space="preserve">В соответствии с дополнительными требованиями к участникам закупки подтверждаем отсутствие сведений обо мне </w:t>
      </w:r>
      <w:r>
        <w:rPr>
          <w:iCs/>
        </w:rPr>
        <w:t xml:space="preserve">[</w:t>
      </w:r>
      <w:r>
        <w:rPr>
          <w:shd w:val="clear" w:color="auto" w:fill="d9d9d9" w:themeFill="background1" w:themeFillShade="D9"/>
        </w:rPr>
        <w:t xml:space="preserve">для физических лиц</w:t>
      </w:r>
      <w:r>
        <w:rPr>
          <w:iCs/>
        </w:rPr>
        <w:t xml:space="preserve">]</w:t>
      </w:r>
      <w:r>
        <w:t xml:space="preserve">/ </w:t>
      </w:r>
      <w:r>
        <w:rPr>
          <w:iCs/>
        </w:rPr>
        <w:t xml:space="preserve">нашей организации[</w:t>
      </w:r>
      <w:r>
        <w:rPr>
          <w:shd w:val="clear" w:color="auto" w:fill="d9d9d9" w:themeFill="background1" w:themeFillShade="D9"/>
        </w:rPr>
        <w:t xml:space="preserve">для юридических лиц</w:t>
      </w:r>
      <w:r>
        <w:rPr>
          <w:iCs/>
        </w:rPr>
        <w:t xml:space="preserve">]</w:t>
      </w:r>
      <w:r>
        <w:rPr>
          <w:iCs/>
        </w:rPr>
        <w:t xml:space="preserve">, </w:t>
      </w:r>
      <w:r>
        <w:t xml:space="preserve">в реестре</w:t>
      </w:r>
      <w:r>
        <w:t xml:space="preserve"> недобросовестных поставщиков (подрядчиков, исполнителей), предусмотренном </w:t>
      </w:r>
      <w:r>
        <w:t xml:space="preserve">Федеральным законом от 18.07.2011 № 223-ФЗ «О закупках товаров, работ, услуг отдельными видами юридических лиц»</w:t>
      </w:r>
      <w:r>
        <w:rPr>
          <w:iCs/>
        </w:rPr>
        <w:t xml:space="preserve"> и</w:t>
      </w:r>
      <w:r>
        <w:t xml:space="preserve"> в реестре недобросовестных поставщиков, предусмотренном </w:t>
      </w:r>
      <w:r>
        <w:t xml:space="preserve">Федеральным законом от 05.04.2013 </w:t>
      </w:r>
      <w:r>
        <w:t xml:space="preserve">№</w:t>
      </w:r>
      <w:r>
        <w:t xml:space="preserve"> 44-ФЗ «О контрактной системе в сфере закупок товаров, работ, услуг для обеспечения государственных и муниципальных нужд»</w:t>
      </w:r>
      <w:r>
        <w:t xml:space="preserve">.</w:t>
      </w:r>
      <w:r/>
    </w:p>
    <w:p>
      <w:pPr>
        <w:ind w:firstLine="567"/>
        <w:spacing w:before="120" w:after="0"/>
      </w:pPr>
      <w:r>
        <w:t xml:space="preserve">В соответствии с требованиями к участникам закупки подтверждаем что  данные обо мне </w:t>
      </w:r>
      <w:r>
        <w:rPr>
          <w:iCs/>
        </w:rPr>
        <w:t xml:space="preserve">[</w:t>
      </w:r>
      <w:r>
        <w:rPr>
          <w:shd w:val="clear" w:color="auto" w:fill="d9d9d9" w:themeFill="background1" w:themeFillShade="D9"/>
        </w:rPr>
        <w:t xml:space="preserve">для физических лиц</w:t>
      </w:r>
      <w:r>
        <w:rPr>
          <w:iCs/>
        </w:rPr>
        <w:t xml:space="preserve">]</w:t>
      </w:r>
      <w:r>
        <w:t xml:space="preserve">/ </w:t>
      </w:r>
      <w:r>
        <w:rPr>
          <w:iCs/>
        </w:rPr>
        <w:t xml:space="preserve">нашей организации [</w:t>
      </w:r>
      <w:r>
        <w:rPr>
          <w:shd w:val="clear" w:color="auto" w:fill="d9d9d9" w:themeFill="background1" w:themeFillShade="D9"/>
        </w:rPr>
        <w:t xml:space="preserve">для юридических лиц</w:t>
      </w:r>
      <w:r>
        <w:rPr>
          <w:iCs/>
        </w:rPr>
        <w:t xml:space="preserve">], </w:t>
      </w:r>
      <w:r>
        <w:t xml:space="preserve">отсутствуют в реестре иностранных агентов, который ведется в соответствии с </w:t>
      </w:r>
      <w:hyperlink r:id="rId64" w:tooltip="https://www.consultant.ru/document/cons_doc_LAW_421788/?ysclid=lhoub12jl9945165196" w:history="1">
        <w:r>
          <w:rPr>
            <w:rStyle w:val="1218"/>
          </w:rPr>
          <w:t xml:space="preserve">Федеральным законом от 14 июля 2022 года N 255-ФЗ «О контроле за деятельностью лиц, находящихся под иностранным влиянием»</w:t>
        </w:r>
      </w:hyperlink>
      <w:r>
        <w:rPr>
          <w:rFonts w:eastAsiaTheme="minorHAnsi"/>
          <w:lang w:eastAsia="en-US"/>
        </w:rPr>
        <w:t xml:space="preserve">.</w:t>
      </w:r>
      <w:r/>
    </w:p>
    <w:p>
      <w:pPr>
        <w:ind w:firstLine="567"/>
        <w:spacing w:before="120" w:after="0"/>
        <w:rPr>
          <w:iCs/>
        </w:rPr>
      </w:pPr>
      <w:r>
        <w:rPr>
          <w:iCs/>
        </w:rPr>
        <w:t xml:space="preserve">В случае признания нас победителем закупки, а также в случае принятия заказчиком решения о заключении с нами договора как </w:t>
      </w:r>
      <w:r>
        <w:t xml:space="preserve">с единственным участником конкурентной закупки</w:t>
      </w:r>
      <w:r>
        <w:t xml:space="preserve"> </w:t>
      </w:r>
      <w:r>
        <w:rPr>
          <w:iCs/>
        </w:rPr>
        <w:t xml:space="preserve">мы</w:t>
      </w:r>
      <w:r>
        <w:rPr>
          <w:iCs/>
        </w:rPr>
        <w:t xml:space="preserve"> </w:t>
      </w:r>
      <w:r>
        <w:rPr>
          <w:iCs/>
        </w:rPr>
        <w:t xml:space="preserve">берем на себя обязательства подписать со своей стороны договор в соответствии с требованиями документации о закупке и условиями нашей заявки.</w:t>
      </w:r>
      <w:r>
        <w:rPr>
          <w:iCs/>
        </w:rPr>
      </w:r>
      <w:r>
        <w:rPr>
          <w:iCs/>
        </w:rPr>
      </w:r>
    </w:p>
    <w:p>
      <w:pPr>
        <w:ind w:firstLine="567"/>
        <w:spacing w:before="120"/>
        <w:rPr>
          <w:iCs/>
        </w:rPr>
      </w:pPr>
      <w:r>
        <w:rPr>
          <w:iCs/>
        </w:rPr>
        <w:t xml:space="preserve">В случае если на</w:t>
      </w:r>
      <w:r>
        <w:rPr>
          <w:iCs/>
        </w:rPr>
        <w:t xml:space="preserve">шей заявке будет присвоен второй номер, а победитель закупки будет отстранен либо признан уклонившимся от заключения договора с заказчиком, мы обязуемся подписать данный договор в соответствии с требованиями документации о закупке и условиями нашей заявки.</w:t>
      </w:r>
      <w:r>
        <w:rPr>
          <w:iCs/>
        </w:rPr>
      </w:r>
      <w:r>
        <w:rPr>
          <w:iCs/>
        </w:rPr>
      </w:r>
    </w:p>
    <w:p>
      <w:pPr>
        <w:ind w:firstLine="567"/>
        <w:spacing w:after="0"/>
      </w:pPr>
      <w:r>
        <w:rPr>
          <w:iCs/>
        </w:rPr>
        <w:t xml:space="preserve">В соответствии с законодательством, а также учредительными документами решение об </w:t>
      </w:r>
      <w:r>
        <w:t xml:space="preserve">одобрении и/или о совершении крупной сделки в связи с заключением договора на условиях нашей заявки не требуется.</w:t>
      </w:r>
      <w:r>
        <w:rPr>
          <w:rStyle w:val="1201"/>
        </w:rPr>
        <w:footnoteReference w:id="2"/>
      </w:r>
      <w:r/>
    </w:p>
    <w:p>
      <w:pPr>
        <w:ind w:firstLine="567"/>
        <w:spacing w:after="0"/>
      </w:pPr>
      <w:r>
        <w:rPr>
          <w:iCs/>
        </w:rPr>
        <w:t xml:space="preserve">В соответствии с законодательством, а также учредительными документами решение об </w:t>
      </w:r>
      <w:r>
        <w:t xml:space="preserve">одобрении и/или о совершении сделки с заинтересованностью в связи с заключением договора на условиях нашей заявки не требуется.</w:t>
      </w:r>
      <w:r>
        <w:rPr>
          <w:rStyle w:val="1201"/>
        </w:rPr>
        <w:footnoteReference w:id="3"/>
      </w:r>
      <w:r/>
    </w:p>
    <w:p>
      <w:pPr>
        <w:ind w:firstLine="567"/>
        <w:spacing w:after="0"/>
      </w:pPr>
      <w:r>
        <w:rPr>
          <w:iCs/>
        </w:rPr>
        <w:t xml:space="preserve">В соответствии с законодательством, а также учреди</w:t>
      </w:r>
      <w:r>
        <w:rPr>
          <w:iCs/>
        </w:rPr>
        <w:t xml:space="preserve">тельными документами, указаниями собственника, иных органов управления подтверждает соблюдение порядка совершения сделки, в том числе получения предварительного согласия (одобрения, согласования) сделки и соблюдения всех требуемых корпоративных требований.</w:t>
      </w:r>
      <w:r>
        <w:rPr>
          <w:rStyle w:val="1201"/>
          <w:iCs/>
        </w:rPr>
        <w:footnoteReference w:id="4"/>
      </w:r>
      <w:r/>
    </w:p>
    <w:p>
      <w:pPr>
        <w:ind w:firstLine="567"/>
        <w:spacing w:before="120" w:after="0"/>
        <w:rPr>
          <w:iCs/>
        </w:rPr>
      </w:pPr>
      <w:r>
        <w:t xml:space="preserve">Настоящей заявкой гарантируем достоверность представленной нами информации и подтверждаем право Организатора </w:t>
      </w:r>
      <w:r>
        <w:t xml:space="preserve">закупки</w:t>
      </w:r>
      <w:r>
        <w:t xml:space="preserve"> (Заказчика), не противоречащее требованию</w:t>
      </w:r>
      <w:r>
        <w:t xml:space="preserve"> о</w:t>
      </w:r>
      <w:r>
        <w:t xml:space="preserve"> формировании равных для всех Участников </w:t>
      </w:r>
      <w:r>
        <w:t xml:space="preserve">закупки</w:t>
      </w:r>
      <w:r>
        <w:t xml:space="preserve"> условий, запрашивать у нас, в уполномоченных органах власти и в упомянутых в нашей заявке юридических и физических лиц информацию, уточняющую представленные нами в ней сведения.</w:t>
      </w:r>
      <w:r>
        <w:rPr>
          <w:iCs/>
        </w:rPr>
      </w:r>
      <w:r>
        <w:rPr>
          <w:iCs/>
        </w:rPr>
      </w:r>
    </w:p>
    <w:p>
      <w:pPr>
        <w:ind w:right="4111"/>
        <w:jc w:val="center"/>
        <w:spacing w:after="0"/>
      </w:pPr>
      <w:r/>
      <w:r/>
    </w:p>
    <w:p>
      <w:pPr>
        <w:ind w:right="4111"/>
        <w:jc w:val="center"/>
        <w:spacing w:after="0"/>
      </w:pPr>
      <w:r/>
      <w:r/>
    </w:p>
    <w:p>
      <w:pPr>
        <w:ind w:right="424"/>
        <w:spacing w:after="0"/>
        <w:tabs>
          <w:tab w:val="left" w:pos="5245" w:leader="none"/>
        </w:tabs>
      </w:pPr>
      <w:r>
        <w:t xml:space="preserve">____________________________</w:t>
      </w:r>
      <w:r>
        <w:t xml:space="preserve"> </w:t>
      </w:r>
      <w:r>
        <w:tab/>
      </w:r>
      <w:r>
        <w:t xml:space="preserve">[</w:t>
      </w:r>
      <w:r>
        <w:rPr>
          <w:shd w:val="clear" w:color="auto" w:fill="d9d9d9" w:themeFill="background1" w:themeFillShade="D9"/>
        </w:rPr>
        <w:t xml:space="preserve">указать</w:t>
      </w:r>
      <w:r>
        <w:t xml:space="preserve">] ____________________________</w:t>
      </w:r>
      <w:r/>
    </w:p>
    <w:p>
      <w:pPr>
        <w:ind w:right="566"/>
        <w:jc w:val="center"/>
        <w:spacing w:after="0"/>
        <w:tabs>
          <w:tab w:val="left" w:pos="5529" w:leader="none"/>
          <w:tab w:val="left" w:pos="7797" w:leader="none"/>
        </w:tabs>
        <w:rPr>
          <w:vertAlign w:val="superscript"/>
        </w:rPr>
      </w:pPr>
      <w:r>
        <w:rPr>
          <w:vertAlign w:val="superscript"/>
        </w:rPr>
        <w:t xml:space="preserve">(подпись, М.П.) </w:t>
      </w:r>
      <w:r>
        <w:rPr>
          <w:vertAlign w:val="superscript"/>
        </w:rPr>
        <w:t xml:space="preserve"> </w:t>
      </w:r>
      <w:r>
        <w:rPr>
          <w:vertAlign w:val="superscript"/>
        </w:rPr>
        <w:tab/>
      </w:r>
      <w:r>
        <w:rPr>
          <w:vertAlign w:val="superscript"/>
        </w:rPr>
        <w:t xml:space="preserve">(фамилия, имя, отчество подписавшего, должность)</w:t>
      </w:r>
      <w:r>
        <w:rPr>
          <w:vertAlign w:val="superscript"/>
        </w:rPr>
      </w:r>
      <w:r>
        <w:rPr>
          <w:vertAlign w:val="superscript"/>
        </w:rPr>
      </w:r>
    </w:p>
    <w:p>
      <w:pPr>
        <w:jc w:val="left"/>
        <w:spacing w:after="0"/>
      </w:pPr>
      <w:r/>
      <w:r/>
    </w:p>
    <w:p>
      <w:pPr>
        <w:jc w:val="left"/>
        <w:spacing w:after="0"/>
        <w:rPr>
          <w:b/>
        </w:rPr>
      </w:pPr>
      <w:r>
        <w:rPr>
          <w:b/>
        </w:rPr>
        <w:t xml:space="preserve">И</w:t>
      </w:r>
      <w:r>
        <w:rPr>
          <w:b/>
        </w:rPr>
        <w:t xml:space="preserve">нструкции по заполнению:</w:t>
      </w:r>
      <w:r>
        <w:rPr>
          <w:b/>
        </w:rPr>
      </w:r>
      <w:r>
        <w:rPr>
          <w:b/>
        </w:rPr>
      </w:r>
    </w:p>
    <w:p>
      <w:pPr>
        <w:pStyle w:val="1311"/>
        <w:numPr>
          <w:ilvl w:val="0"/>
          <w:numId w:val="14"/>
        </w:numPr>
        <w:ind w:left="426"/>
        <w:jc w:val="both"/>
      </w:pPr>
      <w:r>
        <w:t xml:space="preserve">данные инструкции не следует воспроизводить в документах, подготовленных Участником закупки;</w:t>
      </w:r>
      <w:r/>
    </w:p>
    <w:p>
      <w:pPr>
        <w:pStyle w:val="1311"/>
        <w:numPr>
          <w:ilvl w:val="0"/>
          <w:numId w:val="14"/>
        </w:numPr>
        <w:ind w:left="426"/>
        <w:jc w:val="both"/>
      </w:pPr>
      <w:r>
        <w:t xml:space="preserve">участник закупки приводит наименование процедуры закупки, номер лота (в случае проведения многолотовой закупки), номер извещения о проведении закупки в ЕИС;</w:t>
      </w:r>
      <w:r/>
    </w:p>
    <w:p>
      <w:pPr>
        <w:pStyle w:val="1311"/>
        <w:numPr>
          <w:ilvl w:val="0"/>
          <w:numId w:val="14"/>
        </w:numPr>
        <w:ind w:left="426"/>
        <w:jc w:val="both"/>
      </w:pPr>
      <w:r>
        <w:t xml:space="preserve">участник закупки приводит</w:t>
      </w:r>
      <w:r>
        <w:t xml:space="preserve"> </w:t>
      </w:r>
      <w:r>
        <w:t xml:space="preserve">наименования юридического лица и адреса места нахождения, либо фамилию, имя, отчество, паспортные данные, адрес прописки (адрес регистрации) физического лица, в том числе индивидуального предпринимателя;</w:t>
      </w:r>
      <w:r/>
    </w:p>
    <w:p>
      <w:pPr>
        <w:pStyle w:val="1311"/>
        <w:numPr>
          <w:ilvl w:val="0"/>
          <w:numId w:val="14"/>
        </w:numPr>
        <w:ind w:left="426"/>
        <w:jc w:val="both"/>
      </w:pPr>
      <w:r>
        <w:t xml:space="preserve">форма составляется на фирменном бланке Участника закупки</w:t>
      </w:r>
      <w:r>
        <w:t xml:space="preserve">.</w:t>
      </w:r>
      <w:r/>
    </w:p>
    <w:p>
      <w:pPr>
        <w:pStyle w:val="1311"/>
        <w:ind w:left="426"/>
        <w:jc w:val="both"/>
      </w:pPr>
      <w:r/>
      <w:r/>
    </w:p>
    <w:p>
      <w:pPr>
        <w:ind w:left="426"/>
        <w:spacing w:after="0"/>
        <w:rPr>
          <w:b/>
          <w:bCs/>
        </w:rPr>
      </w:pPr>
      <w:r>
        <w:rPr>
          <w:b/>
        </w:rPr>
        <w:t xml:space="preserve">Участник </w:t>
      </w:r>
      <w:r>
        <w:rPr>
          <w:b/>
        </w:rPr>
        <w:t xml:space="preserve">закупки</w:t>
      </w:r>
      <w:r>
        <w:rPr>
          <w:b/>
        </w:rPr>
        <w:t xml:space="preserve"> должен приложить</w:t>
      </w:r>
      <w:r>
        <w:rPr>
          <w:b/>
        </w:rPr>
        <w:t xml:space="preserve"> файл</w:t>
      </w:r>
      <w:r>
        <w:rPr>
          <w:b/>
        </w:rPr>
        <w:t xml:space="preserve"> </w:t>
      </w:r>
      <w:r>
        <w:rPr>
          <w:b/>
        </w:rPr>
        <w:t xml:space="preserve">Письмо о подаче</w:t>
      </w:r>
      <w:r>
        <w:rPr>
          <w:b/>
        </w:rPr>
        <w:t xml:space="preserve"> оферты</w:t>
      </w:r>
      <w:r>
        <w:rPr>
          <w:b/>
        </w:rPr>
        <w:t xml:space="preserve">, выполненный в</w:t>
      </w:r>
      <w:r>
        <w:rPr>
          <w:b/>
        </w:rPr>
        <w:t xml:space="preserve"> </w:t>
      </w:r>
      <w:r>
        <w:rPr>
          <w:b/>
        </w:rPr>
        <w:t xml:space="preserve">редактируемом</w:t>
      </w:r>
      <w:r>
        <w:rPr>
          <w:b/>
        </w:rPr>
        <w:t xml:space="preserve"> формате</w:t>
      </w:r>
      <w:r>
        <w:rPr>
          <w:b/>
          <w:bCs/>
        </w:rPr>
        <w:t xml:space="preserve">.</w:t>
      </w:r>
      <w:r>
        <w:rPr>
          <w:b/>
          <w:bCs/>
        </w:rPr>
        <w:br w:type="page" w:clear="all"/>
      </w:r>
      <w:r>
        <w:rPr>
          <w:b/>
          <w:bCs/>
        </w:rPr>
      </w:r>
      <w:r>
        <w:rPr>
          <w:b/>
          <w:bCs/>
        </w:rPr>
      </w:r>
    </w:p>
    <w:p>
      <w:pPr>
        <w:jc w:val="left"/>
        <w:spacing w:after="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pStyle w:val="1149"/>
        <w:ind w:left="0" w:firstLine="0"/>
        <w:tabs>
          <w:tab w:val="clear" w:pos="576" w:leader="none"/>
        </w:tabs>
        <w:rPr>
          <w:sz w:val="24"/>
          <w:szCs w:val="24"/>
        </w:rPr>
      </w:pPr>
      <w:r/>
      <w:bookmarkStart w:id="363" w:name="_Toc48"/>
      <w:r/>
      <w:bookmarkStart w:id="251" w:name="_ФОРМА_5._План"/>
      <w:r/>
      <w:bookmarkStart w:id="252" w:name="_ФОРМА_6._План"/>
      <w:r/>
      <w:bookmarkEnd w:id="251"/>
      <w:r/>
      <w:bookmarkEnd w:id="252"/>
      <w:r>
        <w:rPr>
          <w:sz w:val="24"/>
          <w:szCs w:val="24"/>
        </w:rPr>
        <w:t xml:space="preserve">ФОРМА  </w:t>
      </w:r>
      <w:r>
        <w:rPr>
          <w:sz w:val="24"/>
          <w:szCs w:val="24"/>
        </w:rPr>
        <w:t xml:space="preserve">План распределения объемов между членами коллективного участника</w:t>
      </w:r>
      <w:r>
        <w:rPr>
          <w:sz w:val="24"/>
          <w:szCs w:val="24"/>
        </w:rPr>
      </w:r>
      <w:bookmarkEnd w:id="363"/>
      <w:r>
        <w:rPr>
          <w:sz w:val="24"/>
          <w:szCs w:val="24"/>
        </w:rPr>
      </w:r>
      <w:r>
        <w:rPr>
          <w:sz w:val="24"/>
          <w:szCs w:val="24"/>
        </w:rPr>
      </w:r>
    </w:p>
    <w:p>
      <w:r/>
      <w:r/>
    </w:p>
    <w:p>
      <w:pPr>
        <w:jc w:val="center"/>
        <w:rPr>
          <w:b/>
        </w:rPr>
      </w:pPr>
      <w:r>
        <w:rPr>
          <w:b/>
        </w:rPr>
        <w:t xml:space="preserve">План распределения объемов выполнения работ и поставок между членами коллективного участниками (консорциума, простого товарищества)</w:t>
      </w:r>
      <w:r>
        <w:rPr>
          <w:b/>
        </w:rPr>
      </w:r>
      <w:r>
        <w:rPr>
          <w:b/>
        </w:rPr>
      </w:r>
    </w:p>
    <w:p>
      <w:r/>
      <w:r/>
    </w:p>
    <w:p>
      <w:pPr>
        <w:ind w:left="-142"/>
        <w:spacing w:after="0"/>
      </w:pPr>
      <w:r>
        <w:t xml:space="preserve">Наименование </w:t>
      </w:r>
      <w:r>
        <w:t xml:space="preserve">закупки</w:t>
      </w:r>
      <w:r>
        <w:t xml:space="preserve"> _______________________________________ Лот № ___</w:t>
      </w:r>
      <w:r>
        <w:t xml:space="preserve">______</w:t>
      </w:r>
      <w:r/>
    </w:p>
    <w:p>
      <w:pPr>
        <w:ind w:left="-142"/>
        <w:spacing w:after="0"/>
      </w:pPr>
      <w:r>
        <w:t xml:space="preserve">Номер извещения о проведении закупки в ЕИС: _________________________________</w:t>
      </w:r>
      <w:r/>
    </w:p>
    <w:p>
      <w:pPr>
        <w:ind w:left="-142"/>
        <w:spacing w:after="0"/>
      </w:pPr>
      <w:r>
        <w:t xml:space="preserve">Наименование участника закупки (Лидера коллективного участника):</w:t>
      </w:r>
      <w:r>
        <w:t xml:space="preserve"> </w:t>
      </w:r>
      <w:r>
        <w:t xml:space="preserve">_________________</w:t>
      </w:r>
      <w:r>
        <w:t xml:space="preserve">_____</w:t>
      </w:r>
      <w:r/>
    </w:p>
    <w:p>
      <w:pPr>
        <w:ind w:left="-142"/>
        <w:spacing w:after="0"/>
        <w:tabs>
          <w:tab w:val="left" w:pos="142" w:leader="none"/>
        </w:tabs>
      </w:pPr>
      <w:r>
        <w:t xml:space="preserve">Юридический адрес участника закупки (Лидера коллективного участника): _________________</w:t>
      </w:r>
      <w:r/>
    </w:p>
    <w:p>
      <w:pPr>
        <w:ind w:left="-142"/>
        <w:spacing w:after="0"/>
        <w:tabs>
          <w:tab w:val="left" w:pos="142" w:leader="none"/>
        </w:tabs>
      </w:pPr>
      <w:r/>
      <w:r/>
    </w:p>
    <w:p>
      <w:pPr>
        <w:ind w:left="-142"/>
        <w:spacing w:after="0"/>
      </w:pPr>
      <w:r>
        <w:t xml:space="preserve">Наименование организации члена коллективного участника </w:t>
      </w:r>
      <w:r>
        <w:rPr>
          <w:i/>
        </w:rPr>
        <w:t xml:space="preserve">(№1)</w:t>
      </w:r>
      <w:r>
        <w:t xml:space="preserve">:</w:t>
      </w:r>
      <w:r>
        <w:t xml:space="preserve"> </w:t>
      </w:r>
      <w:r>
        <w:t xml:space="preserve">_________________________</w:t>
      </w:r>
      <w:r/>
    </w:p>
    <w:p>
      <w:pPr>
        <w:ind w:left="-142"/>
        <w:spacing w:after="0"/>
        <w:tabs>
          <w:tab w:val="left" w:pos="142" w:leader="none"/>
        </w:tabs>
      </w:pPr>
      <w:r>
        <w:t xml:space="preserve">Юридический адрес организации члена коллективного участника:</w:t>
      </w:r>
      <w:r>
        <w:t xml:space="preserve"> </w:t>
      </w:r>
      <w:r>
        <w:t xml:space="preserve">_________________________</w:t>
      </w:r>
      <w:r/>
    </w:p>
    <w:p>
      <w:pPr>
        <w:ind w:left="-142"/>
        <w:spacing w:after="0"/>
        <w:tabs>
          <w:tab w:val="left" w:pos="142" w:leader="none"/>
        </w:tabs>
      </w:pPr>
      <w:r/>
      <w:r/>
    </w:p>
    <w:p>
      <w:pPr>
        <w:ind w:left="-142"/>
        <w:spacing w:after="0"/>
      </w:pPr>
      <w:r>
        <w:t xml:space="preserve">Наименование организации члена коллективного участника </w:t>
      </w:r>
      <w:r>
        <w:rPr>
          <w:i/>
        </w:rPr>
        <w:t xml:space="preserve">(№</w:t>
      </w:r>
      <w:r>
        <w:rPr>
          <w:i/>
        </w:rPr>
        <w:t xml:space="preserve">2</w:t>
      </w:r>
      <w:r>
        <w:rPr>
          <w:i/>
        </w:rPr>
        <w:t xml:space="preserve">)</w:t>
      </w:r>
      <w:r>
        <w:t xml:space="preserve">:</w:t>
      </w:r>
      <w:r>
        <w:t xml:space="preserve"> </w:t>
      </w:r>
      <w:r>
        <w:t xml:space="preserve">_________________________</w:t>
      </w:r>
      <w:r/>
    </w:p>
    <w:p>
      <w:pPr>
        <w:ind w:left="-142"/>
        <w:spacing w:after="0"/>
        <w:tabs>
          <w:tab w:val="left" w:pos="142" w:leader="none"/>
        </w:tabs>
      </w:pPr>
      <w:r>
        <w:t xml:space="preserve">Юридический адрес организации члена коллективного участника:</w:t>
      </w:r>
      <w:r>
        <w:t xml:space="preserve"> </w:t>
      </w:r>
      <w:r>
        <w:t xml:space="preserve">_________________________</w:t>
      </w:r>
      <w:r/>
    </w:p>
    <w:p>
      <w:pPr>
        <w:ind w:left="-142"/>
        <w:spacing w:after="0"/>
        <w:tabs>
          <w:tab w:val="left" w:pos="142" w:leader="none"/>
        </w:tabs>
      </w:pPr>
      <w:r/>
      <w:r/>
    </w:p>
    <w:p>
      <w:pPr>
        <w:ind w:left="-142"/>
        <w:spacing w:after="0"/>
      </w:pPr>
      <w:r>
        <w:t xml:space="preserve">Наименование организации члена коллективного участника </w:t>
      </w:r>
      <w:r>
        <w:rPr>
          <w:i/>
        </w:rPr>
        <w:t xml:space="preserve">(№</w:t>
      </w:r>
      <w:r>
        <w:rPr>
          <w:i/>
        </w:rPr>
        <w:t xml:space="preserve">Х</w:t>
      </w:r>
      <w:r>
        <w:rPr>
          <w:i/>
        </w:rPr>
        <w:t xml:space="preserve">)</w:t>
      </w:r>
      <w:r>
        <w:t xml:space="preserve">:</w:t>
      </w:r>
      <w:r>
        <w:t xml:space="preserve"> </w:t>
      </w:r>
      <w:r>
        <w:t xml:space="preserve">_________________________</w:t>
      </w:r>
      <w:r/>
    </w:p>
    <w:p>
      <w:pPr>
        <w:ind w:left="-142"/>
        <w:spacing w:after="0"/>
        <w:tabs>
          <w:tab w:val="left" w:pos="142" w:leader="none"/>
        </w:tabs>
      </w:pPr>
      <w:r>
        <w:t xml:space="preserve">Юридический адрес организации члена коллективного участника:</w:t>
      </w:r>
      <w:r>
        <w:t xml:space="preserve"> </w:t>
      </w:r>
      <w:r>
        <w:t xml:space="preserve">_________________________</w:t>
      </w:r>
      <w:r/>
    </w:p>
    <w:p>
      <w:pPr>
        <w:spacing w:after="0"/>
      </w:pPr>
      <w:r/>
      <w:r/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655"/>
        <w:gridCol w:w="2697"/>
        <w:gridCol w:w="2343"/>
        <w:gridCol w:w="2498"/>
        <w:gridCol w:w="1578"/>
      </w:tblGrid>
      <w:tr>
        <w:tblPrEx/>
        <w:trPr>
          <w:cantSplit/>
          <w:trHeight w:val="2554"/>
        </w:trPr>
        <w:tc>
          <w:tcPr>
            <w:tcW w:w="655" w:type="dxa"/>
            <w:textDirection w:val="lrTb"/>
            <w:noWrap w:val="false"/>
          </w:tcPr>
          <w:p>
            <w:pPr>
              <w:pStyle w:val="129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п/п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928" w:type="dxa"/>
            <w:textDirection w:val="lrTb"/>
            <w:noWrap w:val="false"/>
          </w:tcPr>
          <w:p>
            <w:pPr>
              <w:pStyle w:val="129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работ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479" w:type="dxa"/>
            <w:textDirection w:val="lrTb"/>
            <w:noWrap w:val="false"/>
          </w:tcPr>
          <w:p>
            <w:pPr>
              <w:pStyle w:val="129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организации, выполняющий данный объем работ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129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Стоимость работ и поставок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в % от общей стоимости работ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29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 xml:space="preserve">(выражается исключительно в процентах от общей стоимости работ предлагаемой участником в ценовом предложении)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1579" w:type="dxa"/>
            <w:textDirection w:val="lrTb"/>
            <w:noWrap w:val="false"/>
          </w:tcPr>
          <w:p>
            <w:pPr>
              <w:pStyle w:val="129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Сроки выполнения (начало и окончание)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655" w:type="dxa"/>
            <w:textDirection w:val="lrTb"/>
            <w:noWrap w:val="false"/>
          </w:tcPr>
          <w:p>
            <w:pPr>
              <w:pStyle w:val="1300"/>
              <w:numPr>
                <w:ilvl w:val="0"/>
                <w:numId w:val="15"/>
              </w:numPr>
              <w:ind w:left="0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W w:w="2928" w:type="dxa"/>
            <w:textDirection w:val="lrTb"/>
            <w:noWrap w:val="false"/>
          </w:tcPr>
          <w:p>
            <w:pPr>
              <w:pStyle w:val="1300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W w:w="2479" w:type="dxa"/>
            <w:textDirection w:val="lrTb"/>
            <w:noWrap w:val="false"/>
          </w:tcPr>
          <w:p>
            <w:pPr>
              <w:pStyle w:val="1300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1300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W w:w="1579" w:type="dxa"/>
            <w:textDirection w:val="lrTb"/>
            <w:noWrap w:val="false"/>
          </w:tcPr>
          <w:p>
            <w:pPr>
              <w:pStyle w:val="1300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</w:tr>
      <w:tr>
        <w:tblPrEx/>
        <w:trPr/>
        <w:tc>
          <w:tcPr>
            <w:tcW w:w="655" w:type="dxa"/>
            <w:textDirection w:val="lrTb"/>
            <w:noWrap w:val="false"/>
          </w:tcPr>
          <w:p>
            <w:pPr>
              <w:pStyle w:val="1300"/>
              <w:numPr>
                <w:ilvl w:val="0"/>
                <w:numId w:val="15"/>
              </w:numPr>
              <w:ind w:left="0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W w:w="2928" w:type="dxa"/>
            <w:textDirection w:val="lrTb"/>
            <w:noWrap w:val="false"/>
          </w:tcPr>
          <w:p>
            <w:pPr>
              <w:pStyle w:val="1300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W w:w="2479" w:type="dxa"/>
            <w:textDirection w:val="lrTb"/>
            <w:noWrap w:val="false"/>
          </w:tcPr>
          <w:p>
            <w:pPr>
              <w:pStyle w:val="1300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1300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W w:w="1579" w:type="dxa"/>
            <w:textDirection w:val="lrTb"/>
            <w:noWrap w:val="false"/>
          </w:tcPr>
          <w:p>
            <w:pPr>
              <w:pStyle w:val="1300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</w:tr>
      <w:tr>
        <w:tblPrEx/>
        <w:trPr/>
        <w:tc>
          <w:tcPr>
            <w:tcW w:w="655" w:type="dxa"/>
            <w:textDirection w:val="lrTb"/>
            <w:noWrap w:val="false"/>
          </w:tcPr>
          <w:p>
            <w:pPr>
              <w:pStyle w:val="1300"/>
              <w:numPr>
                <w:ilvl w:val="0"/>
                <w:numId w:val="15"/>
              </w:numPr>
              <w:ind w:left="0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W w:w="2928" w:type="dxa"/>
            <w:textDirection w:val="lrTb"/>
            <w:noWrap w:val="false"/>
          </w:tcPr>
          <w:p>
            <w:pPr>
              <w:pStyle w:val="1300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W w:w="2479" w:type="dxa"/>
            <w:textDirection w:val="lrTb"/>
            <w:noWrap w:val="false"/>
          </w:tcPr>
          <w:p>
            <w:pPr>
              <w:pStyle w:val="1300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1300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W w:w="1579" w:type="dxa"/>
            <w:textDirection w:val="lrTb"/>
            <w:noWrap w:val="false"/>
          </w:tcPr>
          <w:p>
            <w:pPr>
              <w:pStyle w:val="1300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</w:tr>
      <w:tr>
        <w:tblPrEx/>
        <w:trPr/>
        <w:tc>
          <w:tcPr>
            <w:tcW w:w="655" w:type="dxa"/>
            <w:textDirection w:val="lrTb"/>
            <w:noWrap w:val="false"/>
          </w:tcPr>
          <w:p>
            <w:pPr>
              <w:pStyle w:val="1300"/>
              <w:ind w:left="0"/>
              <w:rPr>
                <w:szCs w:val="24"/>
              </w:rPr>
            </w:pPr>
            <w:r>
              <w:rPr>
                <w:szCs w:val="24"/>
              </w:rPr>
              <w:t xml:space="preserve">…</w:t>
            </w: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W w:w="2928" w:type="dxa"/>
            <w:textDirection w:val="lrTb"/>
            <w:noWrap w:val="false"/>
          </w:tcPr>
          <w:p>
            <w:pPr>
              <w:pStyle w:val="1300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W w:w="2479" w:type="dxa"/>
            <w:textDirection w:val="lrTb"/>
            <w:noWrap w:val="false"/>
          </w:tcPr>
          <w:p>
            <w:pPr>
              <w:pStyle w:val="1300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1300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W w:w="1579" w:type="dxa"/>
            <w:textDirection w:val="lrTb"/>
            <w:noWrap w:val="false"/>
          </w:tcPr>
          <w:p>
            <w:pPr>
              <w:pStyle w:val="1300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</w:tr>
      <w:tr>
        <w:tblPrEx/>
        <w:trPr/>
        <w:tc>
          <w:tcPr>
            <w:gridSpan w:val="3"/>
            <w:tcW w:w="6062" w:type="dxa"/>
            <w:textDirection w:val="lrTb"/>
            <w:noWrap w:val="false"/>
          </w:tcPr>
          <w:p>
            <w:pPr>
              <w:ind w:left="57" w:right="57"/>
              <w:jc w:val="left"/>
              <w:spacing w:before="40" w:after="40"/>
              <w:rPr>
                <w:b/>
              </w:rPr>
            </w:pPr>
            <w:r>
              <w:rPr>
                <w:b/>
              </w:rPr>
              <w:t xml:space="preserve">Итого по Лидеру коллективного Участника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1300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W w:w="1579" w:type="dxa"/>
            <w:textDirection w:val="lrTb"/>
            <w:noWrap w:val="false"/>
          </w:tcPr>
          <w:p>
            <w:pPr>
              <w:pStyle w:val="1300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</w:tr>
      <w:tr>
        <w:tblPrEx/>
        <w:trPr/>
        <w:tc>
          <w:tcPr>
            <w:gridSpan w:val="3"/>
            <w:tcW w:w="6062" w:type="dxa"/>
            <w:textDirection w:val="lrTb"/>
            <w:noWrap w:val="false"/>
          </w:tcPr>
          <w:p>
            <w:pPr>
              <w:ind w:left="57" w:right="57"/>
              <w:jc w:val="left"/>
              <w:spacing w:before="40" w:after="40"/>
              <w:rPr>
                <w:b/>
              </w:rPr>
            </w:pPr>
            <w:r>
              <w:rPr>
                <w:b/>
              </w:rPr>
              <w:t xml:space="preserve">Итого по Члену коллективного Участника № 1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1300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W w:w="1579" w:type="dxa"/>
            <w:textDirection w:val="lrTb"/>
            <w:noWrap w:val="false"/>
          </w:tcPr>
          <w:p>
            <w:pPr>
              <w:pStyle w:val="1300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</w:tr>
      <w:tr>
        <w:tblPrEx/>
        <w:trPr/>
        <w:tc>
          <w:tcPr>
            <w:gridSpan w:val="3"/>
            <w:tcW w:w="6062" w:type="dxa"/>
            <w:textDirection w:val="lrTb"/>
            <w:noWrap w:val="false"/>
          </w:tcPr>
          <w:p>
            <w:pPr>
              <w:ind w:left="57" w:right="57"/>
              <w:jc w:val="left"/>
              <w:spacing w:before="40" w:after="40"/>
              <w:rPr>
                <w:b/>
              </w:rPr>
            </w:pPr>
            <w:r>
              <w:rPr>
                <w:b/>
              </w:rPr>
              <w:t xml:space="preserve">Итого по Члену коллективного Участника № 2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1300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W w:w="1579" w:type="dxa"/>
            <w:textDirection w:val="lrTb"/>
            <w:noWrap w:val="false"/>
          </w:tcPr>
          <w:p>
            <w:pPr>
              <w:pStyle w:val="1300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</w:tr>
      <w:tr>
        <w:tblPrEx/>
        <w:trPr/>
        <w:tc>
          <w:tcPr>
            <w:gridSpan w:val="3"/>
            <w:tcW w:w="6062" w:type="dxa"/>
            <w:textDirection w:val="lrTb"/>
            <w:noWrap w:val="false"/>
          </w:tcPr>
          <w:p>
            <w:pPr>
              <w:ind w:left="57" w:right="57"/>
              <w:jc w:val="center"/>
              <w:spacing w:before="40" w:after="40"/>
            </w:pPr>
            <w:r>
              <w:t xml:space="preserve">…</w:t>
            </w:r>
            <w:r/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1300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W w:w="1579" w:type="dxa"/>
            <w:textDirection w:val="lrTb"/>
            <w:noWrap w:val="false"/>
          </w:tcPr>
          <w:p>
            <w:pPr>
              <w:pStyle w:val="1300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</w:tr>
      <w:tr>
        <w:tblPrEx/>
        <w:trPr/>
        <w:tc>
          <w:tcPr>
            <w:gridSpan w:val="3"/>
            <w:tcW w:w="6062" w:type="dxa"/>
            <w:textDirection w:val="lrTb"/>
            <w:noWrap w:val="false"/>
          </w:tcPr>
          <w:p>
            <w:pPr>
              <w:pStyle w:val="130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ИТОГО</w:t>
            </w:r>
            <w:r>
              <w:rPr>
                <w:b/>
                <w:szCs w:val="24"/>
              </w:rPr>
            </w:r>
            <w:r>
              <w:rPr>
                <w:b/>
                <w:szCs w:val="24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130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100%</w:t>
            </w:r>
            <w:r>
              <w:rPr>
                <w:b/>
                <w:szCs w:val="24"/>
              </w:rPr>
            </w:r>
            <w:r>
              <w:rPr>
                <w:b/>
                <w:szCs w:val="24"/>
              </w:rPr>
            </w:r>
          </w:p>
        </w:tc>
        <w:tc>
          <w:tcPr>
            <w:tcW w:w="1579" w:type="dxa"/>
            <w:textDirection w:val="lrTb"/>
            <w:noWrap w:val="false"/>
          </w:tcPr>
          <w:p>
            <w:pPr>
              <w:pStyle w:val="130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Х</w:t>
            </w:r>
            <w:r>
              <w:rPr>
                <w:b/>
                <w:szCs w:val="24"/>
              </w:rPr>
            </w:r>
            <w:r>
              <w:rPr>
                <w:b/>
                <w:szCs w:val="24"/>
              </w:rPr>
            </w:r>
          </w:p>
        </w:tc>
      </w:tr>
    </w:tbl>
    <w:p>
      <w:pPr>
        <w:spacing w:after="0"/>
      </w:pPr>
      <w:r/>
      <w:r/>
    </w:p>
    <w:p>
      <w:pPr>
        <w:ind w:right="424"/>
        <w:spacing w:after="0"/>
        <w:tabs>
          <w:tab w:val="left" w:pos="4678" w:leader="none"/>
        </w:tabs>
      </w:pPr>
      <w:r>
        <w:t xml:space="preserve">____________________________</w:t>
      </w:r>
      <w:r>
        <w:t xml:space="preserve"> </w:t>
      </w:r>
      <w:r>
        <w:tab/>
      </w:r>
      <w:r>
        <w:t xml:space="preserve">[</w:t>
      </w:r>
      <w:r>
        <w:rPr>
          <w:shd w:val="clear" w:color="auto" w:fill="d9d9d9" w:themeFill="background1" w:themeFillShade="D9"/>
        </w:rPr>
        <w:t xml:space="preserve">указать</w:t>
      </w:r>
      <w:r>
        <w:t xml:space="preserve">] ____________________________</w:t>
      </w:r>
      <w:r/>
    </w:p>
    <w:p>
      <w:pPr>
        <w:ind w:right="566"/>
        <w:jc w:val="center"/>
        <w:spacing w:after="0"/>
        <w:tabs>
          <w:tab w:val="left" w:pos="5529" w:leader="none"/>
          <w:tab w:val="left" w:pos="7797" w:leader="none"/>
        </w:tabs>
        <w:rPr>
          <w:vertAlign w:val="superscript"/>
        </w:rPr>
      </w:pPr>
      <w:r>
        <w:rPr>
          <w:vertAlign w:val="superscript"/>
        </w:rPr>
        <w:t xml:space="preserve">(подпись, М.П.) </w:t>
      </w:r>
      <w:r>
        <w:rPr>
          <w:vertAlign w:val="superscript"/>
        </w:rPr>
        <w:t xml:space="preserve"> </w:t>
      </w:r>
      <w:r>
        <w:rPr>
          <w:vertAlign w:val="superscript"/>
        </w:rPr>
        <w:tab/>
      </w:r>
      <w:r>
        <w:rPr>
          <w:vertAlign w:val="superscript"/>
        </w:rPr>
        <w:t xml:space="preserve">(фамилия, имя, отчество подписавшего, должность)</w:t>
      </w:r>
      <w:r>
        <w:rPr>
          <w:vertAlign w:val="superscript"/>
        </w:rPr>
      </w:r>
      <w:r>
        <w:rPr>
          <w:vertAlign w:val="superscript"/>
        </w:rPr>
      </w:r>
    </w:p>
    <w:p>
      <w:pPr>
        <w:spacing w:after="0"/>
      </w:pPr>
      <w:r/>
      <w:r/>
    </w:p>
    <w:p>
      <w:pPr>
        <w:spacing w:after="0"/>
        <w:rPr>
          <w:b/>
        </w:rPr>
      </w:pPr>
      <w:r>
        <w:rPr>
          <w:b/>
        </w:rPr>
        <w:t xml:space="preserve">Инструкции по заполнению:</w:t>
      </w:r>
      <w:r>
        <w:rPr>
          <w:b/>
        </w:rPr>
      </w:r>
      <w:r>
        <w:rPr>
          <w:b/>
        </w:rPr>
      </w:r>
    </w:p>
    <w:p>
      <w:pPr>
        <w:pStyle w:val="1311"/>
        <w:numPr>
          <w:ilvl w:val="0"/>
          <w:numId w:val="14"/>
        </w:numPr>
        <w:ind w:left="426"/>
        <w:jc w:val="both"/>
      </w:pPr>
      <w:r>
        <w:t xml:space="preserve">данные инструкции не следует воспроизводить в документах, подготовленных Участником закупки;</w:t>
      </w:r>
      <w:r/>
    </w:p>
    <w:p>
      <w:pPr>
        <w:pStyle w:val="1311"/>
        <w:numPr>
          <w:ilvl w:val="0"/>
          <w:numId w:val="14"/>
        </w:numPr>
        <w:ind w:left="426"/>
        <w:jc w:val="both"/>
      </w:pPr>
      <w:r>
        <w:t xml:space="preserve">участник закупки приводит наименование процедуры закупки, номер лота (в случае проведения многолотовой закупки), номер извещения о проведении закупки в ЕИС;</w:t>
      </w:r>
      <w:r/>
    </w:p>
    <w:p>
      <w:pPr>
        <w:pStyle w:val="1311"/>
        <w:numPr>
          <w:ilvl w:val="0"/>
          <w:numId w:val="14"/>
        </w:numPr>
        <w:ind w:left="426"/>
        <w:jc w:val="both"/>
      </w:pPr>
      <w:r>
        <w:t xml:space="preserve">участник закупки приводит</w:t>
      </w:r>
      <w:r>
        <w:t xml:space="preserve"> </w:t>
      </w:r>
      <w:r>
        <w:t xml:space="preserve">наименования юридического лица и адреса места нахождения, либо фамилию, имя, отчество, паспортные данные, адрес прописки (адрес регистрации) физического лица, в том числе индивидуального предпринимателя</w:t>
      </w:r>
      <w:r>
        <w:t xml:space="preserve"> Лидера коллективного участника</w:t>
      </w:r>
      <w:r>
        <w:t xml:space="preserve">;</w:t>
      </w:r>
      <w:r/>
    </w:p>
    <w:p>
      <w:pPr>
        <w:pStyle w:val="1311"/>
        <w:numPr>
          <w:ilvl w:val="0"/>
          <w:numId w:val="14"/>
        </w:numPr>
        <w:ind w:left="426"/>
        <w:jc w:val="both"/>
      </w:pPr>
      <w:r>
        <w:t xml:space="preserve">участник закупки приводит</w:t>
      </w:r>
      <w:r>
        <w:t xml:space="preserve"> </w:t>
      </w:r>
      <w:r>
        <w:t xml:space="preserve">наименования юридическ</w:t>
      </w:r>
      <w:r>
        <w:t xml:space="preserve">их</w:t>
      </w:r>
      <w:r>
        <w:t xml:space="preserve"> лиц и адреса мест нахождения, либо фамили</w:t>
      </w:r>
      <w:r>
        <w:t xml:space="preserve">и</w:t>
      </w:r>
      <w:r>
        <w:t xml:space="preserve">, им</w:t>
      </w:r>
      <w:r>
        <w:t xml:space="preserve">ена</w:t>
      </w:r>
      <w:r>
        <w:t xml:space="preserve">, отчеств</w:t>
      </w:r>
      <w:r>
        <w:t xml:space="preserve">а</w:t>
      </w:r>
      <w:r>
        <w:t xml:space="preserve">, паспортные данные, адрес</w:t>
      </w:r>
      <w:r>
        <w:t xml:space="preserve">а</w:t>
      </w:r>
      <w:r>
        <w:t xml:space="preserve"> прописки (адрес</w:t>
      </w:r>
      <w:r>
        <w:t xml:space="preserve">а</w:t>
      </w:r>
      <w:r>
        <w:t xml:space="preserve"> регистрации) физическ</w:t>
      </w:r>
      <w:r>
        <w:t xml:space="preserve">их</w:t>
      </w:r>
      <w:r>
        <w:t xml:space="preserve"> лиц, в том числе индивидуальн</w:t>
      </w:r>
      <w:r>
        <w:t xml:space="preserve">ых</w:t>
      </w:r>
      <w:r>
        <w:t xml:space="preserve"> предпринимател</w:t>
      </w:r>
      <w:r>
        <w:t xml:space="preserve">ей, членов коллективного участника</w:t>
      </w:r>
      <w:r>
        <w:t xml:space="preserve">;</w:t>
      </w:r>
      <w:r/>
    </w:p>
    <w:p>
      <w:pPr>
        <w:pStyle w:val="1311"/>
        <w:numPr>
          <w:ilvl w:val="0"/>
          <w:numId w:val="14"/>
        </w:numPr>
        <w:ind w:left="426"/>
        <w:jc w:val="both"/>
      </w:pPr>
      <w:r>
        <w:t xml:space="preserve">форма составляется на фирменном бланке Участника закупки</w:t>
      </w:r>
      <w:r>
        <w:t xml:space="preserve">;</w:t>
      </w:r>
      <w:r/>
    </w:p>
    <w:p>
      <w:pPr>
        <w:pStyle w:val="1311"/>
        <w:numPr>
          <w:ilvl w:val="0"/>
          <w:numId w:val="14"/>
        </w:numPr>
        <w:ind w:left="426"/>
        <w:jc w:val="both"/>
      </w:pPr>
      <w:r>
        <w:rPr>
          <w:b/>
        </w:rPr>
        <w:t xml:space="preserve">данная форма заполняется и предоставляется в случае у</w:t>
      </w:r>
      <w:r>
        <w:rPr>
          <w:b/>
        </w:rPr>
        <w:t xml:space="preserve">частия коллективных участников</w:t>
      </w:r>
      <w:r>
        <w:rPr>
          <w:b/>
        </w:rPr>
        <w:t xml:space="preserve">.</w:t>
      </w:r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pPr>
        <w:jc w:val="left"/>
        <w:spacing w:after="0"/>
      </w:pPr>
      <w:r>
        <w:br w:type="page" w:clear="all"/>
      </w:r>
      <w:r/>
    </w:p>
    <w:p>
      <w:pPr>
        <w:pStyle w:val="1149"/>
        <w:ind w:left="0" w:firstLine="0"/>
        <w:tabs>
          <w:tab w:val="clear" w:pos="576" w:leader="none"/>
        </w:tabs>
        <w:rPr>
          <w:sz w:val="24"/>
          <w:szCs w:val="24"/>
        </w:rPr>
      </w:pPr>
      <w:r/>
      <w:bookmarkStart w:id="364" w:name="_Toc49"/>
      <w:r/>
      <w:bookmarkStart w:id="257" w:name="_ФОРМА_7._АНКЕТА"/>
      <w:r/>
      <w:bookmarkEnd w:id="257"/>
      <w:r>
        <w:rPr>
          <w:sz w:val="24"/>
          <w:szCs w:val="24"/>
        </w:rPr>
        <w:t xml:space="preserve">ФОРМА  А</w:t>
      </w:r>
      <w:r>
        <w:rPr>
          <w:sz w:val="24"/>
          <w:szCs w:val="24"/>
        </w:rPr>
        <w:t xml:space="preserve">нкета участника закупки</w:t>
      </w:r>
      <w:r>
        <w:rPr>
          <w:sz w:val="24"/>
          <w:szCs w:val="24"/>
        </w:rPr>
      </w:r>
      <w:bookmarkEnd w:id="364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left"/>
        <w:spacing w:after="0"/>
      </w:pPr>
      <w:r/>
      <w:r/>
    </w:p>
    <w:p>
      <w:pPr>
        <w:jc w:val="center"/>
        <w:spacing w:after="0"/>
      </w:pPr>
      <w:r>
        <w:rPr>
          <w:b/>
          <w:iCs/>
        </w:rPr>
      </w:r>
      <w:r>
        <w:rPr>
          <w:b/>
          <w:bCs/>
          <w:sz w:val="24"/>
          <w:szCs w:val="24"/>
        </w:rPr>
        <w:t xml:space="preserve">А</w:t>
      </w:r>
      <w:r>
        <w:rPr>
          <w:b/>
          <w:bCs/>
          <w:sz w:val="24"/>
          <w:szCs w:val="24"/>
        </w:rPr>
        <w:t xml:space="preserve">нкета участника</w:t>
      </w:r>
      <w:r>
        <w:rPr>
          <w:b/>
          <w:bCs/>
          <w:iCs/>
        </w:rPr>
      </w:r>
      <w:r/>
    </w:p>
    <w:p>
      <w:pPr>
        <w:jc w:val="left"/>
        <w:spacing w:after="0"/>
      </w:pPr>
      <w:r/>
      <w:r/>
    </w:p>
    <w:p>
      <w:pPr>
        <w:jc w:val="left"/>
        <w:spacing w:after="0"/>
      </w:pPr>
      <w:r>
        <w:t xml:space="preserve">Наименование </w:t>
      </w:r>
      <w:r>
        <w:t xml:space="preserve">закупки</w:t>
      </w:r>
      <w:r>
        <w:t xml:space="preserve"> _______________________________________ Лот № ___</w:t>
      </w:r>
      <w:r>
        <w:t xml:space="preserve">______</w:t>
      </w:r>
      <w:r/>
    </w:p>
    <w:p>
      <w:pPr>
        <w:spacing w:after="0"/>
      </w:pPr>
      <w:r>
        <w:t xml:space="preserve">Номер извещения о проведении закупки в ЕИС: _________________________________</w:t>
      </w:r>
      <w:r/>
    </w:p>
    <w:p>
      <w:pPr>
        <w:spacing w:after="0"/>
      </w:pPr>
      <w:r>
        <w:t xml:space="preserve">Наименование участника закупки:</w:t>
      </w:r>
      <w:r>
        <w:t xml:space="preserve"> </w:t>
      </w:r>
      <w:r>
        <w:t xml:space="preserve">_______________________________________</w:t>
      </w:r>
      <w:r>
        <w:t xml:space="preserve">______</w:t>
      </w:r>
      <w:r/>
    </w:p>
    <w:p>
      <w:pPr>
        <w:spacing w:after="0"/>
        <w:rPr>
          <w:b/>
          <w:bCs/>
        </w:rPr>
      </w:pPr>
      <w:r>
        <w:t xml:space="preserve">Юридический адрес (место нахождения) участника закупки:</w:t>
      </w:r>
      <w:r>
        <w:t xml:space="preserve"> </w:t>
      </w:r>
      <w:r>
        <w:t xml:space="preserve">_______________________</w:t>
      </w:r>
      <w:r>
        <w:rPr>
          <w:b/>
          <w:bCs/>
        </w:rPr>
      </w:r>
      <w:r>
        <w:rPr>
          <w:b/>
          <w:bCs/>
        </w:rPr>
      </w:r>
    </w:p>
    <w:p>
      <w:pPr>
        <w:ind w:firstLine="567"/>
        <w:spacing w:after="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tbl>
      <w:tblPr>
        <w:tblW w:w="10212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6227"/>
        <w:gridCol w:w="3265"/>
      </w:tblGrid>
      <w:tr>
        <w:tblPrEx/>
        <w:trPr>
          <w:cantSplit/>
          <w:tblHeader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20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0"/>
              <w:rPr>
                <w:b/>
              </w:rPr>
            </w:pPr>
            <w:r>
              <w:rPr>
                <w:b/>
              </w:rPr>
              <w:t xml:space="preserve">№ п/п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492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0"/>
              <w:rPr>
                <w:b/>
              </w:rPr>
            </w:pPr>
            <w:r>
              <w:rPr>
                <w:b/>
              </w:rPr>
              <w:t xml:space="preserve">Данные об Участнике закупки (Участнике)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>
          <w:cantSplit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20" w:type="dxa"/>
            <w:textDirection w:val="lrTb"/>
            <w:noWrap w:val="false"/>
          </w:tcPr>
          <w:p>
            <w:pPr>
              <w:numPr>
                <w:ilvl w:val="0"/>
                <w:numId w:val="16"/>
              </w:numPr>
              <w:ind w:left="0" w:firstLine="0"/>
              <w:jc w:val="left"/>
              <w:spacing w:after="0"/>
            </w:pPr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227" w:type="dxa"/>
            <w:textDirection w:val="lrTb"/>
            <w:noWrap w:val="false"/>
          </w:tcPr>
          <w:p>
            <w:pPr>
              <w:spacing w:after="0"/>
            </w:pPr>
            <w:r>
              <w:rPr>
                <w:bCs/>
              </w:rPr>
              <w:t xml:space="preserve">Фирменное наименование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65" w:type="dxa"/>
            <w:textDirection w:val="lrTb"/>
            <w:noWrap w:val="false"/>
          </w:tcPr>
          <w:p>
            <w:pPr>
              <w:spacing w:after="0"/>
            </w:pPr>
            <w:r/>
            <w:r/>
          </w:p>
        </w:tc>
      </w:tr>
      <w:tr>
        <w:tblPrEx/>
        <w:trPr>
          <w:cantSplit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20" w:type="dxa"/>
            <w:textDirection w:val="lrTb"/>
            <w:noWrap w:val="false"/>
          </w:tcPr>
          <w:p>
            <w:pPr>
              <w:numPr>
                <w:ilvl w:val="0"/>
                <w:numId w:val="16"/>
              </w:numPr>
              <w:ind w:left="0" w:firstLine="0"/>
              <w:jc w:val="left"/>
              <w:spacing w:after="0"/>
            </w:pPr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227" w:type="dxa"/>
            <w:textDirection w:val="lrTb"/>
            <w:noWrap w:val="false"/>
          </w:tcPr>
          <w:p>
            <w:pPr>
              <w:spacing w:after="0"/>
            </w:pPr>
            <w:r>
              <w:t xml:space="preserve">Организационно-правовая форма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65" w:type="dxa"/>
            <w:textDirection w:val="lrTb"/>
            <w:noWrap w:val="false"/>
          </w:tcPr>
          <w:p>
            <w:pPr>
              <w:spacing w:after="0"/>
            </w:pPr>
            <w:r/>
            <w:r/>
          </w:p>
        </w:tc>
      </w:tr>
      <w:tr>
        <w:tblPrEx/>
        <w:trPr>
          <w:cantSplit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20" w:type="dxa"/>
            <w:textDirection w:val="lrTb"/>
            <w:noWrap w:val="false"/>
          </w:tcPr>
          <w:p>
            <w:pPr>
              <w:numPr>
                <w:ilvl w:val="0"/>
                <w:numId w:val="16"/>
              </w:numPr>
              <w:ind w:left="0" w:firstLine="0"/>
              <w:jc w:val="left"/>
              <w:spacing w:after="0"/>
            </w:pPr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227" w:type="dxa"/>
            <w:textDirection w:val="lrTb"/>
            <w:noWrap w:val="false"/>
          </w:tcPr>
          <w:p>
            <w:pPr>
              <w:spacing w:after="0"/>
            </w:pPr>
            <w:r>
              <w:t xml:space="preserve">Полное наименование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65" w:type="dxa"/>
            <w:textDirection w:val="lrTb"/>
            <w:noWrap w:val="false"/>
          </w:tcPr>
          <w:p>
            <w:pPr>
              <w:spacing w:after="0"/>
            </w:pPr>
            <w:r/>
            <w:r/>
          </w:p>
        </w:tc>
      </w:tr>
      <w:tr>
        <w:tblPrEx/>
        <w:trPr>
          <w:cantSplit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20" w:type="dxa"/>
            <w:textDirection w:val="lrTb"/>
            <w:noWrap w:val="false"/>
          </w:tcPr>
          <w:p>
            <w:pPr>
              <w:numPr>
                <w:ilvl w:val="0"/>
                <w:numId w:val="16"/>
              </w:numPr>
              <w:ind w:left="0" w:firstLine="0"/>
              <w:jc w:val="left"/>
              <w:spacing w:after="0"/>
            </w:pPr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227" w:type="dxa"/>
            <w:textDirection w:val="lrTb"/>
            <w:noWrap w:val="false"/>
          </w:tcPr>
          <w:p>
            <w:pPr>
              <w:spacing w:after="0"/>
            </w:pPr>
            <w:r>
              <w:t xml:space="preserve">Краткое наименование (если есть)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65" w:type="dxa"/>
            <w:textDirection w:val="lrTb"/>
            <w:noWrap w:val="false"/>
          </w:tcPr>
          <w:p>
            <w:pPr>
              <w:spacing w:after="0"/>
            </w:pPr>
            <w:r/>
            <w:r/>
          </w:p>
        </w:tc>
      </w:tr>
      <w:tr>
        <w:tblPrEx/>
        <w:trPr>
          <w:cantSplit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20" w:type="dxa"/>
            <w:textDirection w:val="lrTb"/>
            <w:noWrap w:val="false"/>
          </w:tcPr>
          <w:p>
            <w:pPr>
              <w:numPr>
                <w:ilvl w:val="0"/>
                <w:numId w:val="16"/>
              </w:numPr>
              <w:ind w:left="0" w:firstLine="0"/>
              <w:jc w:val="left"/>
              <w:spacing w:after="0"/>
            </w:pPr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227" w:type="dxa"/>
            <w:textDirection w:val="lrTb"/>
            <w:noWrap w:val="false"/>
          </w:tcPr>
          <w:p>
            <w:pPr>
              <w:spacing w:after="0"/>
            </w:pPr>
            <w:r>
              <w:t xml:space="preserve">Учредители (перечислить наименования и организационно-правовую форму и/или Ф.И.О. учредителей, чья доля в уставном капитале превышает 5%</w:t>
            </w:r>
            <w:r>
              <w:rPr>
                <w:b/>
              </w:rPr>
              <w:t xml:space="preserve">)</w:t>
            </w:r>
            <w:r>
              <w:t xml:space="preserve"> (с указанием размера вклада в процентном и денежном выражении)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65" w:type="dxa"/>
            <w:textDirection w:val="lrTb"/>
            <w:noWrap w:val="false"/>
          </w:tcPr>
          <w:p>
            <w:pPr>
              <w:spacing w:after="0"/>
            </w:pPr>
            <w:r/>
            <w:r/>
          </w:p>
        </w:tc>
      </w:tr>
      <w:tr>
        <w:tblPrEx/>
        <w:trPr>
          <w:cantSplit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20" w:type="dxa"/>
            <w:textDirection w:val="lrTb"/>
            <w:noWrap w:val="false"/>
          </w:tcPr>
          <w:p>
            <w:pPr>
              <w:numPr>
                <w:ilvl w:val="0"/>
                <w:numId w:val="16"/>
              </w:numPr>
              <w:ind w:left="0" w:firstLine="0"/>
              <w:jc w:val="left"/>
              <w:spacing w:after="0"/>
            </w:pPr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227" w:type="dxa"/>
            <w:textDirection w:val="lrTb"/>
            <w:noWrap w:val="false"/>
          </w:tcPr>
          <w:p>
            <w:pPr>
              <w:spacing w:after="0"/>
            </w:pPr>
            <w:r>
              <w:t xml:space="preserve">Стоимость основных фондов (по балансу последнего завершенного периода)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65" w:type="dxa"/>
            <w:textDirection w:val="lrTb"/>
            <w:noWrap w:val="false"/>
          </w:tcPr>
          <w:p>
            <w:pPr>
              <w:spacing w:after="0"/>
            </w:pPr>
            <w:r/>
            <w:r/>
          </w:p>
        </w:tc>
      </w:tr>
      <w:tr>
        <w:tblPrEx/>
        <w:trPr>
          <w:cantSplit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20" w:type="dxa"/>
            <w:textDirection w:val="lrTb"/>
            <w:noWrap w:val="false"/>
          </w:tcPr>
          <w:p>
            <w:pPr>
              <w:numPr>
                <w:ilvl w:val="0"/>
                <w:numId w:val="16"/>
              </w:numPr>
              <w:ind w:left="0" w:firstLine="0"/>
              <w:jc w:val="left"/>
              <w:spacing w:after="0"/>
            </w:pPr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227" w:type="dxa"/>
            <w:textDirection w:val="lrTb"/>
            <w:noWrap w:val="false"/>
          </w:tcPr>
          <w:p>
            <w:pPr>
              <w:spacing w:after="0"/>
            </w:pPr>
            <w:r>
              <w:t xml:space="preserve">Свидетельство о внесении в Единый государственный реестр юридических лиц/Единый государственный реестр индивидуальных предпринимателей </w:t>
            </w:r>
            <w:r/>
          </w:p>
          <w:p>
            <w:pPr>
              <w:spacing w:after="0"/>
            </w:pPr>
            <w:r>
              <w:t xml:space="preserve">(дата, номер, кем выдано)</w:t>
            </w:r>
            <w:r/>
          </w:p>
          <w:p>
            <w:pPr>
              <w:spacing w:after="0"/>
            </w:pPr>
            <w:r>
              <w:t xml:space="preserve">(при наличии)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65" w:type="dxa"/>
            <w:textDirection w:val="lrTb"/>
            <w:noWrap w:val="false"/>
          </w:tcPr>
          <w:p>
            <w:pPr>
              <w:spacing w:after="0"/>
            </w:pPr>
            <w:r/>
            <w:r/>
          </w:p>
        </w:tc>
      </w:tr>
      <w:tr>
        <w:tblPrEx/>
        <w:trPr>
          <w:cantSplit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20" w:type="dxa"/>
            <w:textDirection w:val="lrTb"/>
            <w:noWrap w:val="false"/>
          </w:tcPr>
          <w:p>
            <w:pPr>
              <w:numPr>
                <w:ilvl w:val="0"/>
                <w:numId w:val="16"/>
              </w:numPr>
              <w:ind w:left="0" w:firstLine="0"/>
              <w:jc w:val="left"/>
              <w:spacing w:after="0"/>
            </w:pPr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227" w:type="dxa"/>
            <w:textDirection w:val="lrTb"/>
            <w:noWrap w:val="false"/>
          </w:tcPr>
          <w:p>
            <w:pPr>
              <w:spacing w:after="0"/>
            </w:pPr>
            <w:r>
              <w:t xml:space="preserve">Виды деятельности (ОКВЭД 2) </w:t>
            </w:r>
            <w:r>
              <w:rPr>
                <w:i/>
              </w:rPr>
              <w:t xml:space="preserve">(согласно сведениям из выписки ЕГРЮЛ)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65" w:type="dxa"/>
            <w:textDirection w:val="lrTb"/>
            <w:noWrap w:val="false"/>
          </w:tcPr>
          <w:p>
            <w:pPr>
              <w:spacing w:after="0"/>
            </w:pPr>
            <w:r/>
            <w:r/>
          </w:p>
        </w:tc>
      </w:tr>
      <w:tr>
        <w:tblPrEx/>
        <w:trPr>
          <w:cantSplit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20" w:type="dxa"/>
            <w:textDirection w:val="lrTb"/>
            <w:noWrap w:val="false"/>
          </w:tcPr>
          <w:p>
            <w:pPr>
              <w:numPr>
                <w:ilvl w:val="0"/>
                <w:numId w:val="16"/>
              </w:numPr>
              <w:ind w:left="0" w:firstLine="0"/>
              <w:jc w:val="left"/>
              <w:spacing w:after="0"/>
            </w:pPr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227" w:type="dxa"/>
            <w:textDirection w:val="lrTb"/>
            <w:noWrap w:val="false"/>
          </w:tcPr>
          <w:p>
            <w:pPr>
              <w:spacing w:after="0"/>
            </w:pPr>
            <w:r>
              <w:t xml:space="preserve">ОГРН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65" w:type="dxa"/>
            <w:textDirection w:val="lrTb"/>
            <w:noWrap w:val="false"/>
          </w:tcPr>
          <w:p>
            <w:pPr>
              <w:spacing w:after="0"/>
            </w:pPr>
            <w:r/>
            <w:r/>
          </w:p>
        </w:tc>
      </w:tr>
      <w:tr>
        <w:tblPrEx/>
        <w:trPr>
          <w:cantSplit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20" w:type="dxa"/>
            <w:textDirection w:val="lrTb"/>
            <w:noWrap w:val="false"/>
          </w:tcPr>
          <w:p>
            <w:pPr>
              <w:numPr>
                <w:ilvl w:val="0"/>
                <w:numId w:val="16"/>
              </w:numPr>
              <w:ind w:left="0" w:firstLine="0"/>
              <w:jc w:val="left"/>
              <w:spacing w:after="0"/>
            </w:pPr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227" w:type="dxa"/>
            <w:textDirection w:val="lrTb"/>
            <w:noWrap w:val="false"/>
          </w:tcPr>
          <w:p>
            <w:pPr>
              <w:spacing w:after="0"/>
            </w:pPr>
            <w:r>
              <w:t xml:space="preserve">ИНН/КПП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65" w:type="dxa"/>
            <w:textDirection w:val="lrTb"/>
            <w:noWrap w:val="false"/>
          </w:tcPr>
          <w:p>
            <w:pPr>
              <w:spacing w:after="0"/>
            </w:pPr>
            <w:r/>
            <w:r/>
          </w:p>
        </w:tc>
      </w:tr>
      <w:tr>
        <w:tblPrEx/>
        <w:trPr>
          <w:cantSplit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20" w:type="dxa"/>
            <w:textDirection w:val="lrTb"/>
            <w:noWrap w:val="false"/>
          </w:tcPr>
          <w:p>
            <w:pPr>
              <w:numPr>
                <w:ilvl w:val="0"/>
                <w:numId w:val="16"/>
              </w:numPr>
              <w:ind w:left="0" w:firstLine="0"/>
              <w:jc w:val="left"/>
              <w:spacing w:after="0"/>
            </w:pPr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227" w:type="dxa"/>
            <w:textDirection w:val="lrTb"/>
            <w:noWrap w:val="false"/>
          </w:tcPr>
          <w:p>
            <w:pPr>
              <w:spacing w:after="0"/>
            </w:pPr>
            <w:r>
              <w:t xml:space="preserve">ОКПО 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65" w:type="dxa"/>
            <w:textDirection w:val="lrTb"/>
            <w:noWrap w:val="false"/>
          </w:tcPr>
          <w:p>
            <w:pPr>
              <w:spacing w:after="0"/>
            </w:pPr>
            <w:r/>
            <w:r/>
          </w:p>
        </w:tc>
      </w:tr>
      <w:tr>
        <w:tblPrEx/>
        <w:trPr>
          <w:cantSplit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20" w:type="dxa"/>
            <w:textDirection w:val="lrTb"/>
            <w:noWrap w:val="false"/>
          </w:tcPr>
          <w:p>
            <w:pPr>
              <w:numPr>
                <w:ilvl w:val="0"/>
                <w:numId w:val="16"/>
              </w:numPr>
              <w:ind w:left="0" w:firstLine="0"/>
              <w:jc w:val="left"/>
              <w:spacing w:after="0"/>
            </w:pPr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227" w:type="dxa"/>
            <w:textDirection w:val="lrTb"/>
            <w:noWrap w:val="false"/>
          </w:tcPr>
          <w:p>
            <w:pPr>
              <w:spacing w:after="0"/>
            </w:pPr>
            <w:r>
              <w:t xml:space="preserve">ОКВЭД 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65" w:type="dxa"/>
            <w:textDirection w:val="lrTb"/>
            <w:noWrap w:val="false"/>
          </w:tcPr>
          <w:p>
            <w:pPr>
              <w:spacing w:after="0"/>
            </w:pPr>
            <w:r/>
            <w:r/>
          </w:p>
        </w:tc>
      </w:tr>
      <w:tr>
        <w:tblPrEx/>
        <w:trPr>
          <w:cantSplit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20" w:type="dxa"/>
            <w:textDirection w:val="lrTb"/>
            <w:noWrap w:val="false"/>
          </w:tcPr>
          <w:p>
            <w:pPr>
              <w:numPr>
                <w:ilvl w:val="0"/>
                <w:numId w:val="16"/>
              </w:numPr>
              <w:ind w:left="0" w:firstLine="0"/>
              <w:jc w:val="left"/>
              <w:spacing w:after="0"/>
            </w:pPr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227" w:type="dxa"/>
            <w:textDirection w:val="lrTb"/>
            <w:noWrap w:val="false"/>
          </w:tcPr>
          <w:p>
            <w:pPr>
              <w:spacing w:after="0"/>
            </w:pPr>
            <w:r>
              <w:t xml:space="preserve">ОКТМО 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65" w:type="dxa"/>
            <w:textDirection w:val="lrTb"/>
            <w:noWrap w:val="false"/>
          </w:tcPr>
          <w:p>
            <w:pPr>
              <w:spacing w:after="0"/>
            </w:pPr>
            <w:r/>
            <w:r/>
          </w:p>
        </w:tc>
      </w:tr>
      <w:tr>
        <w:tblPrEx/>
        <w:trPr>
          <w:cantSplit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20" w:type="dxa"/>
            <w:textDirection w:val="lrTb"/>
            <w:noWrap w:val="false"/>
          </w:tcPr>
          <w:p>
            <w:pPr>
              <w:numPr>
                <w:ilvl w:val="0"/>
                <w:numId w:val="16"/>
              </w:numPr>
              <w:ind w:left="0" w:firstLine="0"/>
              <w:jc w:val="left"/>
              <w:spacing w:after="0"/>
            </w:pPr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227" w:type="dxa"/>
            <w:textDirection w:val="lrTb"/>
            <w:noWrap w:val="false"/>
          </w:tcPr>
          <w:p>
            <w:pPr>
              <w:spacing w:after="0"/>
            </w:pPr>
            <w:r>
              <w:t xml:space="preserve">ОКОПФ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65" w:type="dxa"/>
            <w:textDirection w:val="lrTb"/>
            <w:noWrap w:val="false"/>
          </w:tcPr>
          <w:p>
            <w:pPr>
              <w:spacing w:after="0"/>
            </w:pPr>
            <w:r/>
            <w:r/>
          </w:p>
        </w:tc>
      </w:tr>
      <w:tr>
        <w:tblPrEx/>
        <w:trPr>
          <w:cantSplit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20" w:type="dxa"/>
            <w:textDirection w:val="lrTb"/>
            <w:noWrap w:val="false"/>
          </w:tcPr>
          <w:p>
            <w:pPr>
              <w:numPr>
                <w:ilvl w:val="0"/>
                <w:numId w:val="16"/>
              </w:numPr>
              <w:ind w:left="0" w:firstLine="0"/>
              <w:jc w:val="left"/>
              <w:spacing w:after="0"/>
            </w:pPr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227" w:type="dxa"/>
            <w:textDirection w:val="lrTb"/>
            <w:noWrap w:val="false"/>
          </w:tcPr>
          <w:p>
            <w:pPr>
              <w:spacing w:after="0"/>
            </w:pPr>
            <w:r>
              <w:t xml:space="preserve">Муниципальный район, городской округ, внутригородская территория в составе субъекта РФ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65" w:type="dxa"/>
            <w:textDirection w:val="lrTb"/>
            <w:noWrap w:val="false"/>
          </w:tcPr>
          <w:p>
            <w:pPr>
              <w:spacing w:after="0"/>
            </w:pPr>
            <w:r/>
            <w:r/>
          </w:p>
        </w:tc>
      </w:tr>
      <w:tr>
        <w:tblPrEx/>
        <w:trPr>
          <w:cantSplit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20" w:type="dxa"/>
            <w:textDirection w:val="lrTb"/>
            <w:noWrap w:val="false"/>
          </w:tcPr>
          <w:p>
            <w:pPr>
              <w:numPr>
                <w:ilvl w:val="0"/>
                <w:numId w:val="16"/>
              </w:numPr>
              <w:ind w:left="0" w:firstLine="0"/>
              <w:jc w:val="left"/>
              <w:spacing w:after="0"/>
            </w:pPr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227" w:type="dxa"/>
            <w:textDirection w:val="lrTb"/>
            <w:noWrap w:val="false"/>
          </w:tcPr>
          <w:p>
            <w:pPr>
              <w:spacing w:after="0"/>
            </w:pPr>
            <w:r>
              <w:t xml:space="preserve">Юридический адрес (место нахождения)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65" w:type="dxa"/>
            <w:textDirection w:val="lrTb"/>
            <w:noWrap w:val="false"/>
          </w:tcPr>
          <w:p>
            <w:pPr>
              <w:spacing w:after="0"/>
            </w:pPr>
            <w:r/>
            <w:r/>
          </w:p>
        </w:tc>
      </w:tr>
      <w:tr>
        <w:tblPrEx/>
        <w:trPr>
          <w:cantSplit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20" w:type="dxa"/>
            <w:textDirection w:val="lrTb"/>
            <w:noWrap w:val="false"/>
          </w:tcPr>
          <w:p>
            <w:pPr>
              <w:numPr>
                <w:ilvl w:val="0"/>
                <w:numId w:val="16"/>
              </w:numPr>
              <w:ind w:left="0" w:firstLine="0"/>
              <w:jc w:val="left"/>
              <w:spacing w:after="0"/>
            </w:pPr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227" w:type="dxa"/>
            <w:textDirection w:val="lrTb"/>
            <w:noWrap w:val="false"/>
          </w:tcPr>
          <w:p>
            <w:pPr>
              <w:spacing w:after="0"/>
            </w:pPr>
            <w:r>
              <w:t xml:space="preserve">Почтовый адрес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65" w:type="dxa"/>
            <w:textDirection w:val="lrTb"/>
            <w:noWrap w:val="false"/>
          </w:tcPr>
          <w:p>
            <w:pPr>
              <w:spacing w:after="0"/>
            </w:pPr>
            <w:r/>
            <w:r/>
          </w:p>
        </w:tc>
      </w:tr>
      <w:tr>
        <w:tblPrEx/>
        <w:trPr>
          <w:cantSplit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20" w:type="dxa"/>
            <w:textDirection w:val="lrTb"/>
            <w:noWrap w:val="false"/>
          </w:tcPr>
          <w:p>
            <w:pPr>
              <w:numPr>
                <w:ilvl w:val="0"/>
                <w:numId w:val="16"/>
              </w:numPr>
              <w:ind w:left="0" w:firstLine="0"/>
              <w:jc w:val="left"/>
              <w:spacing w:after="0"/>
            </w:pPr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227" w:type="dxa"/>
            <w:textDirection w:val="lrTb"/>
            <w:noWrap w:val="false"/>
          </w:tcPr>
          <w:p>
            <w:pPr>
              <w:spacing w:after="0"/>
            </w:pPr>
            <w:r>
              <w:t xml:space="preserve">Фактическое местоположение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65" w:type="dxa"/>
            <w:textDirection w:val="lrTb"/>
            <w:noWrap w:val="false"/>
          </w:tcPr>
          <w:p>
            <w:pPr>
              <w:spacing w:after="0"/>
            </w:pPr>
            <w:r/>
            <w:r/>
          </w:p>
        </w:tc>
      </w:tr>
      <w:tr>
        <w:tblPrEx/>
        <w:trPr>
          <w:cantSplit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20" w:type="dxa"/>
            <w:textDirection w:val="lrTb"/>
            <w:noWrap w:val="false"/>
          </w:tcPr>
          <w:p>
            <w:pPr>
              <w:numPr>
                <w:ilvl w:val="0"/>
                <w:numId w:val="16"/>
              </w:numPr>
              <w:ind w:left="0" w:firstLine="0"/>
              <w:jc w:val="left"/>
              <w:spacing w:after="0"/>
            </w:pPr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227" w:type="dxa"/>
            <w:textDirection w:val="lrTb"/>
            <w:noWrap w:val="false"/>
          </w:tcPr>
          <w:p>
            <w:pPr>
              <w:spacing w:after="0"/>
            </w:pPr>
            <w:r>
              <w:t xml:space="preserve">Официальный сайт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65" w:type="dxa"/>
            <w:textDirection w:val="lrTb"/>
            <w:noWrap w:val="false"/>
          </w:tcPr>
          <w:p>
            <w:pPr>
              <w:spacing w:after="0"/>
            </w:pPr>
            <w:r/>
            <w:r/>
          </w:p>
        </w:tc>
      </w:tr>
      <w:tr>
        <w:tblPrEx/>
        <w:trPr>
          <w:cantSplit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20" w:type="dxa"/>
            <w:textDirection w:val="lrTb"/>
            <w:noWrap w:val="false"/>
          </w:tcPr>
          <w:p>
            <w:pPr>
              <w:numPr>
                <w:ilvl w:val="0"/>
                <w:numId w:val="16"/>
              </w:numPr>
              <w:ind w:left="0" w:firstLine="0"/>
              <w:jc w:val="left"/>
              <w:spacing w:after="0"/>
            </w:pPr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227" w:type="dxa"/>
            <w:textDirection w:val="lrTb"/>
            <w:noWrap w:val="false"/>
          </w:tcPr>
          <w:p>
            <w:pPr>
              <w:spacing w:after="0"/>
            </w:pPr>
            <w:r>
              <w:t xml:space="preserve">Филиалы: перечислить наименования и почтовые адреса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65" w:type="dxa"/>
            <w:textDirection w:val="lrTb"/>
            <w:noWrap w:val="false"/>
          </w:tcPr>
          <w:p>
            <w:pPr>
              <w:spacing w:after="0"/>
            </w:pPr>
            <w:r/>
            <w:r/>
          </w:p>
        </w:tc>
      </w:tr>
      <w:tr>
        <w:tblPrEx/>
        <w:trPr>
          <w:cantSplit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20" w:type="dxa"/>
            <w:textDirection w:val="lrTb"/>
            <w:noWrap w:val="false"/>
          </w:tcPr>
          <w:p>
            <w:pPr>
              <w:numPr>
                <w:ilvl w:val="0"/>
                <w:numId w:val="16"/>
              </w:numPr>
              <w:ind w:left="0" w:firstLine="0"/>
              <w:jc w:val="left"/>
              <w:spacing w:after="0"/>
            </w:pPr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227" w:type="dxa"/>
            <w:textDirection w:val="lrTb"/>
            <w:noWrap w:val="false"/>
          </w:tcPr>
          <w:p>
            <w:pPr>
              <w:spacing w:after="0"/>
            </w:pPr>
            <w:r>
              <w:rPr>
                <w:bCs/>
              </w:rPr>
              <w:t xml:space="preserve">Банковские реквизиты (наименование и адрес банка, номер расчетного счета Участника закупки в банке, телефоны банка, прочие банковские реквизиты)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65" w:type="dxa"/>
            <w:textDirection w:val="lrTb"/>
            <w:noWrap w:val="false"/>
          </w:tcPr>
          <w:p>
            <w:pPr>
              <w:spacing w:after="0"/>
            </w:pPr>
            <w:r/>
            <w:r/>
          </w:p>
        </w:tc>
      </w:tr>
      <w:tr>
        <w:tblPrEx/>
        <w:trPr>
          <w:cantSplit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20" w:type="dxa"/>
            <w:textDirection w:val="lrTb"/>
            <w:noWrap w:val="false"/>
          </w:tcPr>
          <w:p>
            <w:pPr>
              <w:numPr>
                <w:ilvl w:val="0"/>
                <w:numId w:val="16"/>
              </w:numPr>
              <w:ind w:left="0" w:firstLine="0"/>
              <w:jc w:val="left"/>
              <w:spacing w:after="0"/>
            </w:pPr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227" w:type="dxa"/>
            <w:textDirection w:val="lrTb"/>
            <w:noWrap w:val="false"/>
          </w:tcPr>
          <w:p>
            <w:pPr>
              <w:spacing w:after="0"/>
            </w:pPr>
            <w:r>
              <w:t xml:space="preserve">Телефоны (с указанием кода города)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65" w:type="dxa"/>
            <w:textDirection w:val="lrTb"/>
            <w:noWrap w:val="false"/>
          </w:tcPr>
          <w:p>
            <w:pPr>
              <w:spacing w:after="0"/>
            </w:pPr>
            <w:r/>
            <w:r/>
          </w:p>
        </w:tc>
      </w:tr>
      <w:tr>
        <w:tblPrEx/>
        <w:trPr>
          <w:cantSplit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20" w:type="dxa"/>
            <w:textDirection w:val="lrTb"/>
            <w:noWrap w:val="false"/>
          </w:tcPr>
          <w:p>
            <w:pPr>
              <w:numPr>
                <w:ilvl w:val="0"/>
                <w:numId w:val="16"/>
              </w:numPr>
              <w:ind w:left="0" w:firstLine="0"/>
              <w:jc w:val="left"/>
              <w:spacing w:after="0"/>
            </w:pPr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227" w:type="dxa"/>
            <w:textDirection w:val="lrTb"/>
            <w:noWrap w:val="false"/>
          </w:tcPr>
          <w:p>
            <w:pPr>
              <w:spacing w:after="0"/>
            </w:pPr>
            <w:r>
              <w:t xml:space="preserve">Факс (с указанием кода города)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65" w:type="dxa"/>
            <w:textDirection w:val="lrTb"/>
            <w:noWrap w:val="false"/>
          </w:tcPr>
          <w:p>
            <w:pPr>
              <w:spacing w:after="0"/>
            </w:pPr>
            <w:r/>
            <w:r/>
          </w:p>
        </w:tc>
      </w:tr>
      <w:tr>
        <w:tblPrEx/>
        <w:trPr>
          <w:cantSplit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20" w:type="dxa"/>
            <w:textDirection w:val="lrTb"/>
            <w:noWrap w:val="false"/>
          </w:tcPr>
          <w:p>
            <w:pPr>
              <w:numPr>
                <w:ilvl w:val="0"/>
                <w:numId w:val="16"/>
              </w:numPr>
              <w:ind w:left="0" w:firstLine="0"/>
              <w:jc w:val="left"/>
              <w:spacing w:after="0"/>
            </w:pPr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227" w:type="dxa"/>
            <w:textDirection w:val="lrTb"/>
            <w:noWrap w:val="false"/>
          </w:tcPr>
          <w:p>
            <w:pPr>
              <w:spacing w:after="0"/>
            </w:pPr>
            <w:r>
              <w:t xml:space="preserve">Адрес электронной почты 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65" w:type="dxa"/>
            <w:textDirection w:val="lrTb"/>
            <w:noWrap w:val="false"/>
          </w:tcPr>
          <w:p>
            <w:pPr>
              <w:spacing w:after="0"/>
            </w:pPr>
            <w:r/>
            <w:r/>
          </w:p>
        </w:tc>
      </w:tr>
      <w:tr>
        <w:tblPrEx/>
        <w:trPr>
          <w:cantSplit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20" w:type="dxa"/>
            <w:textDirection w:val="lrTb"/>
            <w:noWrap w:val="false"/>
          </w:tcPr>
          <w:p>
            <w:pPr>
              <w:numPr>
                <w:ilvl w:val="0"/>
                <w:numId w:val="16"/>
              </w:numPr>
              <w:ind w:left="0" w:firstLine="0"/>
              <w:jc w:val="left"/>
              <w:spacing w:after="0"/>
            </w:pPr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227" w:type="dxa"/>
            <w:textDirection w:val="lrTb"/>
            <w:noWrap w:val="false"/>
          </w:tcPr>
          <w:p>
            <w:pPr>
              <w:spacing w:after="0"/>
              <w:rPr>
                <w:b/>
              </w:rPr>
            </w:pPr>
            <w:r>
              <w:rPr>
                <w:b/>
              </w:rPr>
              <w:t xml:space="preserve">Участник: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65" w:type="dxa"/>
            <w:textDirection w:val="lrTb"/>
            <w:noWrap w:val="false"/>
          </w:tcPr>
          <w:p>
            <w:pPr>
              <w:spacing w:after="0"/>
            </w:pPr>
            <w:r/>
            <w:r/>
          </w:p>
        </w:tc>
      </w:tr>
      <w:tr>
        <w:tblPrEx/>
        <w:trPr>
          <w:cantSplit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20" w:type="dxa"/>
            <w:textDirection w:val="lrTb"/>
            <w:noWrap w:val="false"/>
          </w:tcPr>
          <w:p>
            <w:pPr>
              <w:spacing w:after="0"/>
            </w:pPr>
            <w:r>
              <w:rPr>
                <w:bCs/>
              </w:rPr>
              <w:t xml:space="preserve">25.1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227" w:type="dxa"/>
            <w:textDirection w:val="lrTb"/>
            <w:noWrap w:val="false"/>
          </w:tcPr>
          <w:p>
            <w:pPr>
              <w:spacing w:after="0"/>
            </w:pPr>
            <w:r>
              <w:rPr>
                <w:bCs/>
              </w:rPr>
              <w:t xml:space="preserve">Является плательщиком ЕСХН (единого сельскохозяйственного налога): да/нет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65" w:type="dxa"/>
            <w:textDirection w:val="lrTb"/>
            <w:noWrap w:val="false"/>
          </w:tcPr>
          <w:p>
            <w:pPr>
              <w:spacing w:after="0"/>
            </w:pPr>
            <w:r/>
            <w:r/>
          </w:p>
        </w:tc>
      </w:tr>
      <w:tr>
        <w:tblPrEx/>
        <w:trPr>
          <w:cantSplit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20" w:type="dxa"/>
            <w:textDirection w:val="lrTb"/>
            <w:noWrap w:val="false"/>
          </w:tcPr>
          <w:p>
            <w:pPr>
              <w:spacing w:after="0"/>
            </w:pPr>
            <w:r>
              <w:rPr>
                <w:bCs/>
              </w:rPr>
              <w:t xml:space="preserve">25.2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227" w:type="dxa"/>
            <w:textDirection w:val="lrTb"/>
            <w:noWrap w:val="false"/>
          </w:tcPr>
          <w:p>
            <w:pPr>
              <w:spacing w:after="0"/>
            </w:pPr>
            <w:r>
              <w:rPr>
                <w:bCs/>
              </w:rPr>
              <w:t xml:space="preserve">Является плательщиком ЕНВД (единого налога на вмененный доход): да/нет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65" w:type="dxa"/>
            <w:textDirection w:val="lrTb"/>
            <w:noWrap w:val="false"/>
          </w:tcPr>
          <w:p>
            <w:pPr>
              <w:spacing w:after="0"/>
            </w:pPr>
            <w:r/>
            <w:r/>
          </w:p>
        </w:tc>
      </w:tr>
      <w:tr>
        <w:tblPrEx/>
        <w:trPr>
          <w:cantSplit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20" w:type="dxa"/>
            <w:textDirection w:val="lrTb"/>
            <w:noWrap w:val="false"/>
          </w:tcPr>
          <w:p>
            <w:pPr>
              <w:spacing w:after="0"/>
            </w:pPr>
            <w:r>
              <w:rPr>
                <w:bCs/>
              </w:rPr>
              <w:t xml:space="preserve">25.3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227" w:type="dxa"/>
            <w:textDirection w:val="lrTb"/>
            <w:noWrap w:val="false"/>
          </w:tcPr>
          <w:p>
            <w:pPr>
              <w:spacing w:after="0"/>
            </w:pPr>
            <w:r>
              <w:rPr>
                <w:bCs/>
              </w:rPr>
              <w:t xml:space="preserve">Является плательщиком НДПИ (налога на добычу полезных ископаемых): да/нет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65" w:type="dxa"/>
            <w:textDirection w:val="lrTb"/>
            <w:noWrap w:val="false"/>
          </w:tcPr>
          <w:p>
            <w:pPr>
              <w:spacing w:after="0"/>
            </w:pPr>
            <w:r/>
            <w:r/>
          </w:p>
        </w:tc>
      </w:tr>
      <w:tr>
        <w:tblPrEx/>
        <w:trPr>
          <w:cantSplit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20" w:type="dxa"/>
            <w:textDirection w:val="lrTb"/>
            <w:noWrap w:val="false"/>
          </w:tcPr>
          <w:p>
            <w:pPr>
              <w:spacing w:after="0"/>
            </w:pPr>
            <w:r>
              <w:rPr>
                <w:bCs/>
              </w:rPr>
              <w:t xml:space="preserve">25.4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227" w:type="dxa"/>
            <w:textDirection w:val="lrTb"/>
            <w:noWrap w:val="false"/>
          </w:tcPr>
          <w:p>
            <w:pPr>
              <w:spacing w:after="0"/>
            </w:pPr>
            <w:r>
              <w:rPr>
                <w:bCs/>
              </w:rPr>
              <w:t xml:space="preserve">Является участником проекта «Сколково»: да/нет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65" w:type="dxa"/>
            <w:textDirection w:val="lrTb"/>
            <w:noWrap w:val="false"/>
          </w:tcPr>
          <w:p>
            <w:pPr>
              <w:spacing w:after="0"/>
            </w:pPr>
            <w:r/>
            <w:r/>
          </w:p>
        </w:tc>
      </w:tr>
      <w:tr>
        <w:tblPrEx/>
        <w:trPr>
          <w:cantSplit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20" w:type="dxa"/>
            <w:textDirection w:val="lrTb"/>
            <w:noWrap w:val="false"/>
          </w:tcPr>
          <w:p>
            <w:pPr>
              <w:spacing w:after="0"/>
            </w:pPr>
            <w:r>
              <w:rPr>
                <w:bCs/>
              </w:rPr>
              <w:t xml:space="preserve">25.5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227" w:type="dxa"/>
            <w:textDirection w:val="lrTb"/>
            <w:noWrap w:val="false"/>
          </w:tcPr>
          <w:p>
            <w:pPr>
              <w:spacing w:after="0"/>
            </w:pPr>
            <w:r>
              <w:rPr>
                <w:bCs/>
              </w:rPr>
              <w:t xml:space="preserve">Применяет ставку 0% по налогу на прибыль: да/нет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65" w:type="dxa"/>
            <w:textDirection w:val="lrTb"/>
            <w:noWrap w:val="false"/>
          </w:tcPr>
          <w:p>
            <w:pPr>
              <w:spacing w:after="0"/>
            </w:pPr>
            <w:r/>
            <w:r/>
          </w:p>
        </w:tc>
      </w:tr>
      <w:tr>
        <w:tblPrEx/>
        <w:trPr>
          <w:cantSplit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20" w:type="dxa"/>
            <w:textDirection w:val="lrTb"/>
            <w:noWrap w:val="false"/>
          </w:tcPr>
          <w:p>
            <w:pPr>
              <w:spacing w:after="0"/>
            </w:pPr>
            <w:r>
              <w:rPr>
                <w:bCs/>
              </w:rPr>
              <w:t xml:space="preserve">25.6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227" w:type="dxa"/>
            <w:textDirection w:val="lrTb"/>
            <w:noWrap w:val="false"/>
          </w:tcPr>
          <w:p>
            <w:pPr>
              <w:spacing w:after="0"/>
            </w:pPr>
            <w:r>
              <w:rPr>
                <w:bCs/>
              </w:rPr>
              <w:t xml:space="preserve">Является резидентом особой экономической зоны: да/нет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65" w:type="dxa"/>
            <w:textDirection w:val="lrTb"/>
            <w:noWrap w:val="false"/>
          </w:tcPr>
          <w:p>
            <w:pPr>
              <w:spacing w:after="0"/>
            </w:pPr>
            <w:r/>
            <w:r/>
          </w:p>
        </w:tc>
      </w:tr>
      <w:tr>
        <w:tblPrEx/>
        <w:trPr>
          <w:cantSplit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20" w:type="dxa"/>
            <w:textDirection w:val="lrTb"/>
            <w:noWrap w:val="false"/>
          </w:tcPr>
          <w:p>
            <w:pPr>
              <w:spacing w:after="0"/>
            </w:pPr>
            <w:r>
              <w:rPr>
                <w:bCs/>
              </w:rPr>
              <w:t xml:space="preserve">25.7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227" w:type="dxa"/>
            <w:textDirection w:val="lrTb"/>
            <w:noWrap w:val="false"/>
          </w:tcPr>
          <w:p>
            <w:pPr>
              <w:spacing w:after="0"/>
            </w:pPr>
            <w:r>
              <w:rPr>
                <w:bCs/>
              </w:rPr>
              <w:t xml:space="preserve">Является резидентом офшорной зоны: да/нет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65" w:type="dxa"/>
            <w:textDirection w:val="lrTb"/>
            <w:noWrap w:val="false"/>
          </w:tcPr>
          <w:p>
            <w:pPr>
              <w:spacing w:after="0"/>
            </w:pPr>
            <w:r/>
            <w:r/>
          </w:p>
        </w:tc>
      </w:tr>
      <w:tr>
        <w:tblPrEx/>
        <w:trPr>
          <w:cantSplit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20" w:type="dxa"/>
            <w:textDirection w:val="lrTb"/>
            <w:noWrap w:val="false"/>
          </w:tcPr>
          <w:p>
            <w:pPr>
              <w:spacing w:after="0"/>
            </w:pPr>
            <w:r>
              <w:rPr>
                <w:bCs/>
              </w:rPr>
              <w:t xml:space="preserve">25.8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227" w:type="dxa"/>
            <w:textDirection w:val="lrTb"/>
            <w:noWrap w:val="false"/>
          </w:tcPr>
          <w:p>
            <w:pPr>
              <w:spacing w:after="0"/>
              <w:rPr>
                <w:bCs/>
              </w:rPr>
            </w:pPr>
            <w:r>
              <w:rPr>
                <w:bCs/>
              </w:rPr>
              <w:t xml:space="preserve">Является субъектом МСП: да/нет</w:t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65" w:type="dxa"/>
            <w:textDirection w:val="lrTb"/>
            <w:noWrap w:val="false"/>
          </w:tcPr>
          <w:p>
            <w:pPr>
              <w:spacing w:after="0"/>
            </w:pPr>
            <w:r/>
            <w:r/>
          </w:p>
        </w:tc>
      </w:tr>
      <w:tr>
        <w:tblPrEx/>
        <w:trPr>
          <w:cantSplit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20" w:type="dxa"/>
            <w:textDirection w:val="lrTb"/>
            <w:noWrap w:val="false"/>
          </w:tcPr>
          <w:p>
            <w:pPr>
              <w:numPr>
                <w:ilvl w:val="0"/>
                <w:numId w:val="16"/>
              </w:numPr>
              <w:ind w:left="0" w:firstLine="0"/>
              <w:jc w:val="left"/>
              <w:spacing w:after="0"/>
            </w:pPr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227" w:type="dxa"/>
            <w:textDirection w:val="lrTb"/>
            <w:noWrap w:val="false"/>
          </w:tcPr>
          <w:p>
            <w:pPr>
              <w:spacing w:after="0"/>
            </w:pPr>
            <w:r>
              <w:t xml:space="preserve">Ф.И.О. руководителя Участника, имеющего право подписи согласно учредительным документам, с указанием должности и контактного телефона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65" w:type="dxa"/>
            <w:textDirection w:val="lrTb"/>
            <w:noWrap w:val="false"/>
          </w:tcPr>
          <w:p>
            <w:pPr>
              <w:spacing w:after="0"/>
            </w:pPr>
            <w:r/>
            <w:r/>
          </w:p>
        </w:tc>
      </w:tr>
      <w:tr>
        <w:tblPrEx/>
        <w:trPr>
          <w:cantSplit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20" w:type="dxa"/>
            <w:textDirection w:val="lrTb"/>
            <w:noWrap w:val="false"/>
          </w:tcPr>
          <w:p>
            <w:pPr>
              <w:numPr>
                <w:ilvl w:val="0"/>
                <w:numId w:val="16"/>
              </w:numPr>
              <w:ind w:left="0" w:firstLine="0"/>
              <w:jc w:val="left"/>
              <w:spacing w:after="0"/>
            </w:pPr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227" w:type="dxa"/>
            <w:textDirection w:val="lrTb"/>
            <w:noWrap w:val="false"/>
          </w:tcPr>
          <w:p>
            <w:pPr>
              <w:spacing w:after="0"/>
            </w:pPr>
            <w:r>
              <w:t xml:space="preserve">Ф.И.О. ответственного лица Участника с указанием должности, контактного телефона и электронного адреса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65" w:type="dxa"/>
            <w:textDirection w:val="lrTb"/>
            <w:noWrap w:val="false"/>
          </w:tcPr>
          <w:p>
            <w:pPr>
              <w:spacing w:after="0"/>
            </w:pPr>
            <w:r/>
            <w:r/>
          </w:p>
        </w:tc>
      </w:tr>
      <w:tr>
        <w:tblPrEx/>
        <w:trPr>
          <w:cantSplit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20" w:type="dxa"/>
            <w:textDirection w:val="lrTb"/>
            <w:noWrap w:val="false"/>
          </w:tcPr>
          <w:p>
            <w:pPr>
              <w:numPr>
                <w:ilvl w:val="0"/>
                <w:numId w:val="16"/>
              </w:numPr>
              <w:ind w:left="0" w:firstLine="0"/>
              <w:jc w:val="left"/>
              <w:spacing w:after="0"/>
            </w:pPr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227" w:type="dxa"/>
            <w:textDirection w:val="lrTb"/>
            <w:noWrap w:val="false"/>
          </w:tcPr>
          <w:p>
            <w:pPr>
              <w:spacing w:after="0"/>
            </w:pPr>
            <w:r>
              <w:rPr>
                <w:bCs/>
                <w:lang w:eastAsia="ar-SA"/>
              </w:rPr>
              <w:t xml:space="preserve">Отнесение Участника к категории субъектов малого и среднего предпринимательства </w:t>
            </w:r>
            <w:r>
              <w:rPr>
                <w:bCs/>
                <w:i/>
                <w:lang w:eastAsia="ar-SA"/>
              </w:rPr>
              <w:t xml:space="preserve">(в случае наличия у Участника статуса субъекта МСП указать категорию МСП: индивидуальный предприниматель, микропредприятие, малое предприятие, среднее предприятие)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65" w:type="dxa"/>
            <w:textDirection w:val="lrTb"/>
            <w:noWrap w:val="false"/>
          </w:tcPr>
          <w:p>
            <w:pPr>
              <w:spacing w:after="0"/>
            </w:pPr>
            <w:r/>
            <w:r/>
          </w:p>
        </w:tc>
      </w:tr>
    </w:tbl>
    <w:p>
      <w:pPr>
        <w:spacing w:after="0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142"/>
        <w:spacing w:after="0"/>
        <w:rPr>
          <w:b/>
          <w:u w:val="single"/>
        </w:rPr>
      </w:pPr>
      <w:r>
        <w:rPr>
          <w:b/>
          <w:u w:val="single"/>
        </w:rPr>
        <w:t xml:space="preserve">Вопрос 1:</w:t>
      </w:r>
      <w:r>
        <w:rPr>
          <w:b/>
          <w:u w:val="single"/>
        </w:rPr>
      </w:r>
      <w:r>
        <w:rPr>
          <w:b/>
          <w:u w:val="single"/>
        </w:rPr>
      </w:r>
    </w:p>
    <w:p>
      <w:pPr>
        <w:ind w:left="142"/>
        <w:spacing w:after="0"/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5334000</wp:posOffset>
                </wp:positionH>
                <wp:positionV relativeFrom="paragraph">
                  <wp:posOffset>170180</wp:posOffset>
                </wp:positionV>
                <wp:extent cx="990600" cy="433705"/>
                <wp:effectExtent l="0" t="0" r="0" b="4445"/>
                <wp:wrapNone/>
                <wp:docPr id="2" name="Поле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90600" cy="433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 xml:space="preserve">ненужное зачеркнуть</w:t>
                            </w:r>
                            <w:r>
                              <w:rPr>
                                <w:b/>
                                <w:sz w:val="20"/>
                              </w:rPr>
                            </w:r>
                            <w:r>
                              <w:rPr>
                                <w:b/>
                                <w:sz w:val="20"/>
                              </w:rPr>
                            </w:r>
                          </w:p>
                        </w:txbxContent>
                      </wps:txbx>
                      <wps:bodyPr rot="0" vert="horz" wrap="square" lIns="85725" tIns="47625" rIns="85725" bIns="4762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hape 1" o:spid="_x0000_s1" o:spt="202" type="#_x0000_t202" style="position:absolute;z-index:251659264;o:allowoverlap:true;o:allowincell:true;mso-position-horizontal-relative:text;margin-left:420.00pt;mso-position-horizontal:absolute;mso-position-vertical-relative:text;margin-top:13.40pt;mso-position-vertical:absolute;width:78.00pt;height:34.15pt;mso-wrap-distance-left:9.00pt;mso-wrap-distance-top:0.00pt;mso-wrap-distance-right:9.00pt;mso-wrap-distance-bottom:0.00pt;v-text-anchor:top;visibility:visible;" fillcolor="#FFFFFF" stroked="f">
                <v:textbox inset="0,0,0,0">
                  <w:txbxContent>
                    <w:p>
                      <w:pPr>
                        <w:jc w:val="center"/>
                        <w:rPr>
                          <w:b/>
                          <w:sz w:val="20"/>
                        </w:rPr>
                      </w:pPr>
                      <w:r>
                        <w:rPr>
                          <w:b/>
                          <w:sz w:val="20"/>
                        </w:rPr>
                        <w:t xml:space="preserve">ненужное зачеркнуть</w:t>
                      </w:r>
                      <w:r>
                        <w:rPr>
                          <w:b/>
                          <w:sz w:val="20"/>
                        </w:rPr>
                      </w:r>
                      <w:r>
                        <w:rPr>
                          <w:b/>
                          <w:sz w:val="20"/>
                        </w:rPr>
                      </w:r>
                    </w:p>
                  </w:txbxContent>
                </v:textbox>
              </v:shape>
            </w:pict>
          </mc:Fallback>
        </mc:AlternateContent>
      </w:r>
      <w:r>
        <w:t xml:space="preserve">Является ли прямым акционером  Вашей компании с долей собственности более 20% Государство в лице ниже перечисленных организаций?</w:t>
      </w:r>
      <w:r/>
    </w:p>
    <w:p>
      <w:pPr>
        <w:ind w:left="142" w:hanging="709"/>
        <w:spacing w:after="0"/>
      </w:pPr>
      <w:r/>
      <w:r/>
    </w:p>
    <w:p>
      <w:pPr>
        <w:ind w:left="142" w:hanging="709"/>
        <w:spacing w:after="0"/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5547360</wp:posOffset>
                </wp:positionH>
                <wp:positionV relativeFrom="paragraph">
                  <wp:posOffset>95250</wp:posOffset>
                </wp:positionV>
                <wp:extent cx="609600" cy="252095"/>
                <wp:effectExtent l="0" t="0" r="19050" b="14604"/>
                <wp:wrapNone/>
                <wp:docPr id="3" name="Поле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520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 xml:space="preserve">Да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hape 2" o:spid="_x0000_s2" o:spt="202" type="#_x0000_t202" style="position:absolute;z-index:251660288;o:allowoverlap:true;o:allowincell:true;mso-position-horizontal-relative:text;margin-left:436.80pt;mso-position-horizontal:absolute;mso-position-vertical-relative:text;margin-top:7.50pt;mso-position-vertical:absolute;width:48.00pt;height:19.85pt;mso-wrap-distance-left:9.00pt;mso-wrap-distance-top:0.00pt;mso-wrap-distance-right:9.00pt;mso-wrap-distance-bottom:0.00pt;v-text-anchor:top;visibility:visible;" fillcolor="#FFFFFF" strokecolor="#000000" strokeweight="0.75pt">
                <v:textbox inset="0,0,0,0">
                  <w:txbxContent>
                    <w:p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 xml:space="preserve">Да</w:t>
                      </w:r>
                      <w:r>
                        <w:rPr>
                          <w:sz w:val="22"/>
                          <w:szCs w:val="22"/>
                        </w:rPr>
                      </w:r>
                      <w:r>
                        <w:rPr>
                          <w:sz w:val="22"/>
                          <w:szCs w:val="22"/>
                        </w:rPr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5532120</wp:posOffset>
                </wp:positionH>
                <wp:positionV relativeFrom="paragraph">
                  <wp:posOffset>507365</wp:posOffset>
                </wp:positionV>
                <wp:extent cx="609600" cy="288925"/>
                <wp:effectExtent l="0" t="0" r="19050" b="15875"/>
                <wp:wrapNone/>
                <wp:docPr id="4" name="Поле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8892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 xml:space="preserve">Нет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hape 3" o:spid="_x0000_s3" o:spt="202" type="#_x0000_t202" style="position:absolute;z-index:251661312;o:allowoverlap:true;o:allowincell:true;mso-position-horizontal-relative:text;margin-left:435.60pt;mso-position-horizontal:absolute;mso-position-vertical-relative:text;margin-top:39.95pt;mso-position-vertical:absolute;width:48.00pt;height:22.75pt;mso-wrap-distance-left:9.00pt;mso-wrap-distance-top:0.00pt;mso-wrap-distance-right:9.00pt;mso-wrap-distance-bottom:0.00pt;v-text-anchor:top;visibility:visible;" fillcolor="#FFFFFF" strokecolor="#000000" strokeweight="0.75pt">
                <v:textbox inset="0,0,0,0">
                  <w:txbxContent>
                    <w:p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 xml:space="preserve">Нет</w:t>
                      </w:r>
                      <w:r>
                        <w:rPr>
                          <w:sz w:val="22"/>
                          <w:szCs w:val="22"/>
                        </w:rPr>
                      </w:r>
                      <w:r>
                        <w:rPr>
                          <w:sz w:val="22"/>
                          <w:szCs w:val="22"/>
                        </w:rPr>
                      </w:r>
                    </w:p>
                  </w:txbxContent>
                </v:textbox>
              </v:shape>
            </w:pict>
          </mc:Fallback>
        </mc:AlternateContent>
      </w:r>
      <w:r/>
    </w:p>
    <w:p>
      <w:pPr>
        <w:ind w:left="142" w:hanging="709"/>
        <w:spacing w:after="0"/>
      </w:pPr>
      <w:r/>
      <w:r/>
    </w:p>
    <w:p>
      <w:pPr>
        <w:ind w:left="142" w:hanging="709"/>
        <w:spacing w:after="0"/>
      </w:pPr>
      <w:r/>
      <w:r/>
    </w:p>
    <w:p>
      <w:pPr>
        <w:numPr>
          <w:ilvl w:val="0"/>
          <w:numId w:val="17"/>
        </w:numPr>
        <w:ind w:left="142" w:hanging="284"/>
        <w:jc w:val="left"/>
        <w:spacing w:after="0"/>
        <w:widowControl w:val="off"/>
      </w:pPr>
      <w:r>
        <w:t xml:space="preserve">Если Вы ответили «Да», заполните, пожалуйста, таблицу:</w:t>
      </w:r>
      <w:r/>
    </w:p>
    <w:p>
      <w:pPr>
        <w:ind w:left="142" w:hanging="709"/>
        <w:spacing w:after="0"/>
      </w:pPr>
      <w:r/>
      <w:r/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3111"/>
        <w:gridCol w:w="2509"/>
        <w:gridCol w:w="2489"/>
        <w:gridCol w:w="1662"/>
      </w:tblGrid>
      <w:tr>
        <w:tblPrEx/>
        <w:trPr/>
        <w:tc>
          <w:tcPr>
            <w:shd w:val="clear" w:color="auto" w:fill="ccffcc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tcW w:w="3369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shd w:val="clear" w:color="auto" w:fill="ccffcc"/>
              <w:rPr>
                <w:color w:val="000000"/>
                <w:spacing w:val="-1"/>
              </w:rPr>
            </w:pPr>
            <w:r>
              <w:rPr>
                <w:b/>
                <w:spacing w:val="-1"/>
              </w:rPr>
              <w:t xml:space="preserve">Государство в лице</w:t>
            </w:r>
            <w:r>
              <w:rPr>
                <w:color w:val="000000"/>
                <w:spacing w:val="-1"/>
              </w:rPr>
            </w:r>
            <w:r>
              <w:rPr>
                <w:color w:val="000000"/>
                <w:spacing w:val="-1"/>
              </w:rPr>
            </w:r>
          </w:p>
        </w:tc>
        <w:tc>
          <w:tcPr>
            <w:shd w:val="clear" w:color="auto" w:fill="ccffcc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tcW w:w="2693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</w:pPr>
            <w:r>
              <w:rPr>
                <w:b/>
                <w:spacing w:val="-1"/>
              </w:rPr>
              <w:t xml:space="preserve">Полное наименование акционера со стороны государства</w:t>
            </w:r>
            <w:r/>
          </w:p>
        </w:tc>
        <w:tc>
          <w:tcPr>
            <w:shd w:val="clear" w:color="auto" w:fill="ccffcc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tcW w:w="2693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</w:pPr>
            <w:r>
              <w:rPr>
                <w:b/>
                <w:spacing w:val="-1"/>
              </w:rPr>
              <w:t xml:space="preserve">Доля акционера со стороны государства  в акционерном капитале Вашей компании на дату заполнения анкеты, %</w:t>
            </w:r>
            <w:r/>
          </w:p>
        </w:tc>
        <w:tc>
          <w:tcPr>
            <w:shd w:val="clear" w:color="auto" w:fill="ccffcc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tcW w:w="1385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</w:pPr>
            <w:r>
              <w:rPr>
                <w:b/>
                <w:spacing w:val="-1"/>
              </w:rPr>
              <w:t xml:space="preserve">С какой даты является Вашим акционером (участником)</w:t>
            </w:r>
            <w:r/>
          </w:p>
        </w:tc>
      </w:tr>
      <w:tr>
        <w:tblPrEx/>
        <w:trPr/>
        <w:tc>
          <w:tcPr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369" w:type="dxa"/>
            <w:vAlign w:val="center"/>
            <w:textDirection w:val="lrTb"/>
            <w:noWrap w:val="false"/>
          </w:tcPr>
          <w:p>
            <w:pPr>
              <w:spacing w:after="0"/>
              <w:shd w:val="clear" w:color="auto" w:fill="ffffff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 xml:space="preserve">Правительство РФ (</w:t>
            </w:r>
            <w:r>
              <w:rPr>
                <w:bCs/>
                <w:color w:val="000000"/>
              </w:rPr>
              <w:t xml:space="preserve">включая все территориальные и региональные органы власти)</w:t>
            </w:r>
            <w:r>
              <w:rPr>
                <w:color w:val="000000"/>
                <w:spacing w:val="-1"/>
              </w:rPr>
            </w:r>
            <w:r>
              <w:rPr>
                <w:color w:val="000000"/>
                <w:spacing w:val="-1"/>
              </w:rPr>
            </w:r>
          </w:p>
        </w:tc>
        <w:tc>
          <w:tcPr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93" w:type="dxa"/>
            <w:textDirection w:val="lrTb"/>
            <w:noWrap w:val="false"/>
          </w:tcPr>
          <w:p>
            <w:pPr>
              <w:spacing w:after="0"/>
            </w:pPr>
            <w:r/>
            <w:r/>
          </w:p>
        </w:tc>
        <w:tc>
          <w:tcPr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93" w:type="dxa"/>
            <w:textDirection w:val="lrTb"/>
            <w:noWrap w:val="false"/>
          </w:tcPr>
          <w:p>
            <w:pPr>
              <w:spacing w:after="0"/>
            </w:pPr>
            <w:r/>
            <w:r/>
          </w:p>
        </w:tc>
        <w:tc>
          <w:tcPr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85" w:type="dxa"/>
            <w:textDirection w:val="lrTb"/>
            <w:noWrap w:val="false"/>
          </w:tcPr>
          <w:p>
            <w:pPr>
              <w:spacing w:after="0"/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369" w:type="dxa"/>
            <w:vAlign w:val="center"/>
            <w:textDirection w:val="lrTb"/>
            <w:noWrap w:val="false"/>
          </w:tcPr>
          <w:p>
            <w:pPr>
              <w:spacing w:after="0"/>
              <w:rPr>
                <w:spacing w:val="-1"/>
              </w:rPr>
            </w:pPr>
            <w:r>
              <w:rPr>
                <w:spacing w:val="-1"/>
              </w:rPr>
              <w:t xml:space="preserve">Федеральное агентство по управлению государственным имуществом</w:t>
            </w:r>
            <w:r>
              <w:rPr>
                <w:spacing w:val="-1"/>
              </w:rPr>
            </w:r>
            <w:r>
              <w:rPr>
                <w:spacing w:val="-1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93" w:type="dxa"/>
            <w:textDirection w:val="lrTb"/>
            <w:noWrap w:val="false"/>
          </w:tcPr>
          <w:p>
            <w:pPr>
              <w:spacing w:after="0"/>
            </w:pPr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93" w:type="dxa"/>
            <w:textDirection w:val="lrTb"/>
            <w:noWrap w:val="false"/>
          </w:tcPr>
          <w:p>
            <w:pPr>
              <w:spacing w:after="0"/>
            </w:pPr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85" w:type="dxa"/>
            <w:textDirection w:val="lrTb"/>
            <w:noWrap w:val="false"/>
          </w:tcPr>
          <w:p>
            <w:pPr>
              <w:spacing w:after="0"/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369" w:type="dxa"/>
            <w:vAlign w:val="center"/>
            <w:textDirection w:val="lrTb"/>
            <w:noWrap w:val="false"/>
          </w:tcPr>
          <w:p>
            <w:pPr>
              <w:spacing w:after="0"/>
              <w:rPr>
                <w:spacing w:val="-1"/>
              </w:rPr>
            </w:pPr>
            <w:r>
              <w:rPr>
                <w:spacing w:val="-1"/>
              </w:rPr>
              <w:t xml:space="preserve">Комитет по управлению государственным имуществом территориального органа государственного управления</w:t>
            </w:r>
            <w:r>
              <w:rPr>
                <w:spacing w:val="-1"/>
              </w:rPr>
            </w:r>
            <w:r>
              <w:rPr>
                <w:spacing w:val="-1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93" w:type="dxa"/>
            <w:textDirection w:val="lrTb"/>
            <w:noWrap w:val="false"/>
          </w:tcPr>
          <w:p>
            <w:pPr>
              <w:spacing w:after="0"/>
            </w:pPr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93" w:type="dxa"/>
            <w:textDirection w:val="lrTb"/>
            <w:noWrap w:val="false"/>
          </w:tcPr>
          <w:p>
            <w:pPr>
              <w:spacing w:after="0"/>
            </w:pPr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85" w:type="dxa"/>
            <w:textDirection w:val="lrTb"/>
            <w:noWrap w:val="false"/>
          </w:tcPr>
          <w:p>
            <w:pPr>
              <w:spacing w:after="0"/>
            </w:pPr>
            <w:r/>
            <w:r/>
          </w:p>
        </w:tc>
      </w:tr>
    </w:tbl>
    <w:p>
      <w:pPr>
        <w:ind w:left="142" w:hanging="709"/>
        <w:spacing w:after="0"/>
      </w:pPr>
      <w:r/>
      <w:r/>
    </w:p>
    <w:p>
      <w:pPr>
        <w:ind w:left="142" w:hanging="709"/>
        <w:spacing w:after="0"/>
      </w:pPr>
      <w:r/>
      <w:r/>
    </w:p>
    <w:p>
      <w:pPr>
        <w:ind w:left="142" w:hanging="709"/>
        <w:spacing w:after="0"/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-7620</wp:posOffset>
                </wp:positionH>
                <wp:positionV relativeFrom="paragraph">
                  <wp:posOffset>17780</wp:posOffset>
                </wp:positionV>
                <wp:extent cx="5478780" cy="977900"/>
                <wp:effectExtent l="0" t="0" r="7620" b="0"/>
                <wp:wrapNone/>
                <wp:docPr id="5" name="Поле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78780" cy="977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b/>
                                <w:u w:val="single"/>
                              </w:rPr>
                              <w:t xml:space="preserve">Вопрос 2:</w:t>
                            </w:r>
                            <w:r/>
                          </w:p>
                          <w:p>
                            <w:r>
                              <w:t xml:space="preserve">Является ли прямым акционером Вашей компании с долей собственности более 20% </w:t>
                            </w:r>
                            <w:r>
                              <w:rPr>
                                <w:b/>
                              </w:rPr>
                              <w:t xml:space="preserve">Коммерческая компания</w:t>
                            </w:r>
                            <w:r>
                              <w:t xml:space="preserve">, имеющая в составе своих акционеров  Государство с долей собственности более 20%?</w:t>
                            </w:r>
                            <w:r/>
                          </w:p>
                          <w:p>
                            <w:pPr>
                              <w:rPr>
                                <w:i/>
                                <w:sz w:val="10"/>
                                <w:szCs w:val="10"/>
                              </w:rPr>
                            </w:pPr>
                            <w:r>
                              <w:rPr>
                                <w:i/>
                                <w:sz w:val="10"/>
                                <w:szCs w:val="10"/>
                              </w:rPr>
                            </w:r>
                            <w:r>
                              <w:rPr>
                                <w:i/>
                                <w:sz w:val="10"/>
                                <w:szCs w:val="10"/>
                              </w:rPr>
                            </w:r>
                            <w:r>
                              <w:rPr>
                                <w:i/>
                                <w:sz w:val="10"/>
                                <w:szCs w:val="10"/>
                              </w:rPr>
                            </w:r>
                          </w:p>
                          <w:p>
                            <w:r/>
                            <w:r/>
                          </w:p>
                          <w:p>
                            <w:r/>
                            <w:r/>
                          </w:p>
                        </w:txbxContent>
                      </wps:txbx>
                      <wps:bodyPr rot="0" vert="horz" wrap="square" lIns="85725" tIns="47625" rIns="85725" bIns="4762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hape 4" o:spid="_x0000_s4" o:spt="202" type="#_x0000_t202" style="position:absolute;z-index:251665408;o:allowoverlap:true;o:allowincell:true;mso-position-horizontal-relative:text;margin-left:-0.60pt;mso-position-horizontal:absolute;mso-position-vertical-relative:text;margin-top:1.40pt;mso-position-vertical:absolute;width:431.40pt;height:77.00pt;mso-wrap-distance-left:9.00pt;mso-wrap-distance-top:0.00pt;mso-wrap-distance-right:9.00pt;mso-wrap-distance-bottom:0.00pt;v-text-anchor:top;visibility:visible;" fillcolor="#FFFFFF" stroked="f">
                <v:textbox inset="0,0,0,0">
                  <w:txbxContent>
                    <w:p>
                      <w:r>
                        <w:rPr>
                          <w:b/>
                          <w:u w:val="single"/>
                        </w:rPr>
                        <w:t xml:space="preserve">Вопрос 2:</w:t>
                      </w:r>
                      <w:r/>
                    </w:p>
                    <w:p>
                      <w:r>
                        <w:t xml:space="preserve">Является ли прямым акционером Вашей компании с долей собственности более 20% </w:t>
                      </w:r>
                      <w:r>
                        <w:rPr>
                          <w:b/>
                        </w:rPr>
                        <w:t xml:space="preserve">Коммерческая компания</w:t>
                      </w:r>
                      <w:r>
                        <w:t xml:space="preserve">, имеющая в составе своих акционеров  Государство с долей собственности более 20%?</w:t>
                      </w:r>
                      <w:r/>
                    </w:p>
                    <w:p>
                      <w:pPr>
                        <w:rPr>
                          <w:i/>
                          <w:sz w:val="10"/>
                          <w:szCs w:val="10"/>
                        </w:rPr>
                      </w:pPr>
                      <w:r>
                        <w:rPr>
                          <w:i/>
                          <w:sz w:val="10"/>
                          <w:szCs w:val="10"/>
                        </w:rPr>
                      </w:r>
                      <w:r>
                        <w:rPr>
                          <w:i/>
                          <w:sz w:val="10"/>
                          <w:szCs w:val="10"/>
                        </w:rPr>
                      </w:r>
                      <w:r>
                        <w:rPr>
                          <w:i/>
                          <w:sz w:val="10"/>
                          <w:szCs w:val="10"/>
                        </w:rPr>
                      </w:r>
                    </w:p>
                    <w:p>
                      <w:r/>
                      <w:r/>
                    </w:p>
                    <w:p>
                      <w:r/>
                      <w:r/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5521635</wp:posOffset>
                </wp:positionH>
                <wp:positionV relativeFrom="paragraph">
                  <wp:posOffset>17691</wp:posOffset>
                </wp:positionV>
                <wp:extent cx="990600" cy="414670"/>
                <wp:effectExtent l="0" t="0" r="0" b="4445"/>
                <wp:wrapNone/>
                <wp:docPr id="6" name="Поле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90600" cy="414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 xml:space="preserve">ненужное зачеркнуть</w:t>
                            </w:r>
                            <w:r>
                              <w:rPr>
                                <w:b/>
                                <w:sz w:val="20"/>
                              </w:rPr>
                            </w:r>
                            <w:r>
                              <w:rPr>
                                <w:b/>
                                <w:sz w:val="20"/>
                              </w:rPr>
                            </w:r>
                          </w:p>
                        </w:txbxContent>
                      </wps:txbx>
                      <wps:bodyPr rot="0" vert="horz" wrap="square" lIns="85725" tIns="47625" rIns="85725" bIns="4762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hape 5" o:spid="_x0000_s5" o:spt="202" type="#_x0000_t202" style="position:absolute;z-index:251662336;o:allowoverlap:true;o:allowincell:true;mso-position-horizontal-relative:text;margin-left:434.77pt;mso-position-horizontal:absolute;mso-position-vertical-relative:text;margin-top:1.39pt;mso-position-vertical:absolute;width:78.00pt;height:32.65pt;mso-wrap-distance-left:9.00pt;mso-wrap-distance-top:0.00pt;mso-wrap-distance-right:9.00pt;mso-wrap-distance-bottom:0.00pt;v-text-anchor:top;visibility:visible;" fillcolor="#FFFFFF" stroked="f">
                <v:textbox inset="0,0,0,0">
                  <w:txbxContent>
                    <w:p>
                      <w:pPr>
                        <w:jc w:val="center"/>
                        <w:rPr>
                          <w:b/>
                          <w:sz w:val="20"/>
                        </w:rPr>
                      </w:pPr>
                      <w:r>
                        <w:rPr>
                          <w:b/>
                          <w:sz w:val="20"/>
                        </w:rPr>
                        <w:t xml:space="preserve">ненужное зачеркнуть</w:t>
                      </w:r>
                      <w:r>
                        <w:rPr>
                          <w:b/>
                          <w:sz w:val="20"/>
                        </w:rPr>
                      </w:r>
                      <w:r>
                        <w:rPr>
                          <w:b/>
                          <w:sz w:val="20"/>
                        </w:rPr>
                      </w:r>
                    </w:p>
                  </w:txbxContent>
                </v:textbox>
              </v:shape>
            </w:pict>
          </mc:Fallback>
        </mc:AlternateContent>
      </w:r>
      <w:r/>
    </w:p>
    <w:p>
      <w:pPr>
        <w:ind w:left="142" w:hanging="709"/>
        <w:spacing w:after="0"/>
      </w:pPr>
      <w:r/>
      <w:r/>
    </w:p>
    <w:p>
      <w:pPr>
        <w:ind w:left="142" w:hanging="709"/>
        <w:spacing w:after="0"/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5708015</wp:posOffset>
                </wp:positionH>
                <wp:positionV relativeFrom="paragraph">
                  <wp:posOffset>100330</wp:posOffset>
                </wp:positionV>
                <wp:extent cx="685800" cy="228600"/>
                <wp:effectExtent l="0" t="0" r="19050" b="19050"/>
                <wp:wrapNone/>
                <wp:docPr id="7" name="Поле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58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 xml:space="preserve">Да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hape 6" o:spid="_x0000_s6" o:spt="202" type="#_x0000_t202" style="position:absolute;z-index:251664384;o:allowoverlap:true;o:allowincell:true;mso-position-horizontal-relative:text;margin-left:449.45pt;mso-position-horizontal:absolute;mso-position-vertical-relative:text;margin-top:7.90pt;mso-position-vertical:absolute;width:54.00pt;height:18.00pt;mso-wrap-distance-left:9.00pt;mso-wrap-distance-top:0.00pt;mso-wrap-distance-right:9.00pt;mso-wrap-distance-bottom:0.00pt;v-text-anchor:top;visibility:visible;" fillcolor="#FFFFFF" strokecolor="#000000" strokeweight="0.75pt">
                <v:textbox inset="0,0,0,0">
                  <w:txbxContent>
                    <w:p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 xml:space="preserve">Да</w:t>
                      </w:r>
                      <w:r>
                        <w:rPr>
                          <w:sz w:val="22"/>
                          <w:szCs w:val="22"/>
                        </w:rPr>
                      </w:r>
                      <w:r>
                        <w:rPr>
                          <w:sz w:val="22"/>
                          <w:szCs w:val="22"/>
                        </w:rPr>
                      </w:r>
                    </w:p>
                  </w:txbxContent>
                </v:textbox>
              </v:shape>
            </w:pict>
          </mc:Fallback>
        </mc:AlternateContent>
      </w:r>
      <w:r/>
    </w:p>
    <w:p>
      <w:pPr>
        <w:ind w:left="142" w:hanging="709"/>
        <w:spacing w:after="0"/>
      </w:pPr>
      <w:r/>
      <w:r/>
    </w:p>
    <w:p>
      <w:pPr>
        <w:ind w:left="142" w:hanging="709"/>
        <w:spacing w:after="0"/>
      </w:pPr>
      <w:r/>
      <w:r/>
    </w:p>
    <w:p>
      <w:pPr>
        <w:ind w:left="142" w:hanging="709"/>
        <w:spacing w:after="0"/>
      </w:pPr>
      <w:r/>
      <w:r/>
    </w:p>
    <w:p>
      <w:pPr>
        <w:ind w:left="142" w:hanging="709"/>
        <w:spacing w:after="0"/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5718810</wp:posOffset>
                </wp:positionH>
                <wp:positionV relativeFrom="paragraph">
                  <wp:posOffset>5080</wp:posOffset>
                </wp:positionV>
                <wp:extent cx="685800" cy="228600"/>
                <wp:effectExtent l="0" t="0" r="19050" b="19050"/>
                <wp:wrapNone/>
                <wp:docPr id="8" name="Поле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58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 xml:space="preserve">Нет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hape 7" o:spid="_x0000_s7" o:spt="202" type="#_x0000_t202" style="position:absolute;z-index:251663360;o:allowoverlap:true;o:allowincell:true;mso-position-horizontal-relative:text;margin-left:450.30pt;mso-position-horizontal:absolute;mso-position-vertical-relative:text;margin-top:0.40pt;mso-position-vertical:absolute;width:54.00pt;height:18.00pt;mso-wrap-distance-left:9.00pt;mso-wrap-distance-top:0.00pt;mso-wrap-distance-right:9.00pt;mso-wrap-distance-bottom:0.00pt;v-text-anchor:top;visibility:visible;" fillcolor="#FFFFFF" strokecolor="#000000" strokeweight="0.75pt">
                <v:textbox inset="0,0,0,0">
                  <w:txbxContent>
                    <w:p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 xml:space="preserve">Нет</w:t>
                      </w:r>
                      <w:r>
                        <w:rPr>
                          <w:sz w:val="22"/>
                          <w:szCs w:val="22"/>
                        </w:rPr>
                      </w:r>
                      <w:r>
                        <w:rPr>
                          <w:sz w:val="22"/>
                          <w:szCs w:val="22"/>
                        </w:rPr>
                      </w:r>
                    </w:p>
                  </w:txbxContent>
                </v:textbox>
              </v:shape>
            </w:pict>
          </mc:Fallback>
        </mc:AlternateContent>
      </w:r>
      <w:r/>
    </w:p>
    <w:p>
      <w:pPr>
        <w:numPr>
          <w:ilvl w:val="0"/>
          <w:numId w:val="17"/>
        </w:numPr>
        <w:ind w:left="142" w:hanging="284"/>
        <w:jc w:val="left"/>
        <w:spacing w:after="0"/>
        <w:widowControl w:val="off"/>
      </w:pPr>
      <w:r>
        <w:t xml:space="preserve">Если Вы ответили «Да», заполните, пожалуйста, таблицу:</w:t>
      </w:r>
      <w:r/>
    </w:p>
    <w:tbl>
      <w:tblPr>
        <w:tblW w:w="100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2943"/>
        <w:gridCol w:w="1276"/>
        <w:gridCol w:w="1276"/>
        <w:gridCol w:w="1568"/>
        <w:gridCol w:w="1834"/>
        <w:gridCol w:w="1134"/>
      </w:tblGrid>
      <w:tr>
        <w:tblPrEx/>
        <w:trPr/>
        <w:tc>
          <w:tcPr>
            <w:shd w:val="clear" w:color="auto" w:fill="ccffcc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tcW w:w="2943" w:type="dxa"/>
            <w:vAlign w:val="center"/>
            <w:textDirection w:val="lrTb"/>
            <w:noWrap w:val="false"/>
          </w:tcPr>
          <w:p>
            <w:pPr>
              <w:spacing w:after="0"/>
            </w:pPr>
            <w:r/>
            <w:r/>
          </w:p>
        </w:tc>
        <w:tc>
          <w:tcPr>
            <w:shd w:val="clear" w:color="auto" w:fill="ccffcc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b/>
              </w:rPr>
            </w:pPr>
            <w:r>
              <w:rPr>
                <w:b/>
              </w:rPr>
              <w:t xml:space="preserve">Полное наименование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shd w:val="clear" w:color="auto" w:fill="ccffcc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</w:pPr>
            <w:r>
              <w:rPr>
                <w:b/>
              </w:rPr>
              <w:t xml:space="preserve">Адрес официального сайта в сети Интернет</w:t>
            </w:r>
            <w:r/>
          </w:p>
        </w:tc>
        <w:tc>
          <w:tcPr>
            <w:shd w:val="clear" w:color="auto" w:fill="ccffcc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tcW w:w="1568" w:type="dxa"/>
            <w:vAlign w:val="center"/>
            <w:textDirection w:val="lrTb"/>
            <w:noWrap w:val="false"/>
          </w:tcPr>
          <w:p>
            <w:pPr>
              <w:ind w:left="-107" w:right="-100"/>
              <w:jc w:val="center"/>
              <w:spacing w:after="0"/>
            </w:pPr>
            <w:r>
              <w:rPr>
                <w:b/>
              </w:rPr>
              <w:t xml:space="preserve">Доля  в акционерном капитале Вашей компании, %</w:t>
            </w:r>
            <w:r/>
          </w:p>
        </w:tc>
        <w:tc>
          <w:tcPr>
            <w:shd w:val="clear" w:color="auto" w:fill="ccffcc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tcW w:w="1834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</w:pPr>
            <w:r>
              <w:rPr>
                <w:b/>
              </w:rPr>
              <w:t xml:space="preserve">Доля  в акционерном капитале  Коммерческой компании – Вашего прямого акционера,  %</w:t>
            </w:r>
            <w:r/>
          </w:p>
        </w:tc>
        <w:tc>
          <w:tcPr>
            <w:shd w:val="clear" w:color="auto" w:fill="ccffcc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</w:pPr>
            <w:r>
              <w:rPr>
                <w:b/>
              </w:rPr>
              <w:t xml:space="preserve">С какой даты является акционером (участником)</w:t>
            </w:r>
            <w:r/>
          </w:p>
        </w:tc>
      </w:tr>
      <w:tr>
        <w:tblPrEx/>
        <w:trPr/>
        <w:tc>
          <w:tcPr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43" w:type="dxa"/>
            <w:textDirection w:val="lrTb"/>
            <w:noWrap w:val="false"/>
          </w:tcPr>
          <w:p>
            <w:pPr>
              <w:spacing w:after="0"/>
            </w:pPr>
            <w:r>
              <w:t xml:space="preserve">Коммерческая компания № 1 – прямой акционер Вашей компании</w:t>
            </w:r>
            <w:r/>
          </w:p>
        </w:tc>
        <w:tc>
          <w:tcPr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spacing w:after="0"/>
            </w:pPr>
            <w:r/>
            <w:r/>
          </w:p>
        </w:tc>
        <w:tc>
          <w:tcPr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spacing w:after="0"/>
            </w:pPr>
            <w:r/>
            <w:r/>
          </w:p>
        </w:tc>
        <w:tc>
          <w:tcPr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8" w:type="dxa"/>
            <w:textDirection w:val="lrTb"/>
            <w:noWrap w:val="false"/>
          </w:tcPr>
          <w:p>
            <w:pPr>
              <w:spacing w:after="0"/>
            </w:pPr>
            <w:r/>
            <w:r/>
          </w:p>
        </w:tc>
        <w:tc>
          <w:tcPr>
            <w:shd w:val="clear" w:color="auto" w:fill="c0c0c0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34" w:type="dxa"/>
            <w:textDirection w:val="lrTb"/>
            <w:noWrap w:val="false"/>
          </w:tcPr>
          <w:p>
            <w:pPr>
              <w:spacing w:after="0"/>
            </w:pPr>
            <w:r>
              <w:t xml:space="preserve">(не заполняется)</w:t>
            </w:r>
            <w:r/>
          </w:p>
        </w:tc>
        <w:tc>
          <w:tcPr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spacing w:after="0"/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tcW w:w="2943" w:type="dxa"/>
            <w:textDirection w:val="lrTb"/>
            <w:noWrap w:val="false"/>
          </w:tcPr>
          <w:p>
            <w:pPr>
              <w:spacing w:after="0"/>
            </w:pPr>
            <w:r>
              <w:t xml:space="preserve">Государственная организация, имеющая долю акций Коммерческой компании № 1 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spacing w:after="0"/>
            </w:pPr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spacing w:after="0"/>
            </w:pPr>
            <w:r/>
            <w:r/>
          </w:p>
        </w:tc>
        <w:tc>
          <w:tcPr>
            <w:shd w:val="clear" w:color="auto" w:fill="c0c0c0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tcW w:w="1568" w:type="dxa"/>
            <w:textDirection w:val="lrTb"/>
            <w:noWrap w:val="false"/>
          </w:tcPr>
          <w:p>
            <w:pPr>
              <w:spacing w:after="0"/>
            </w:pPr>
            <w:r>
              <w:t xml:space="preserve">(не заполняется)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tcW w:w="1834" w:type="dxa"/>
            <w:textDirection w:val="lrTb"/>
            <w:noWrap w:val="false"/>
          </w:tcPr>
          <w:p>
            <w:pPr>
              <w:spacing w:after="0"/>
            </w:pPr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spacing w:after="0"/>
            </w:pPr>
            <w:r/>
            <w:r/>
          </w:p>
        </w:tc>
      </w:tr>
      <w:tr>
        <w:tblPrEx/>
        <w:trPr/>
        <w:tc>
          <w:tcPr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43" w:type="dxa"/>
            <w:textDirection w:val="lrTb"/>
            <w:noWrap w:val="false"/>
          </w:tcPr>
          <w:p>
            <w:pPr>
              <w:spacing w:after="0"/>
            </w:pPr>
            <w:r>
              <w:t xml:space="preserve">Коммерческая компания № 2 – прямой акционер Вашей компании</w:t>
            </w:r>
            <w:r/>
          </w:p>
        </w:tc>
        <w:tc>
          <w:tcPr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spacing w:after="0"/>
            </w:pPr>
            <w:r/>
            <w:r/>
          </w:p>
        </w:tc>
        <w:tc>
          <w:tcPr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spacing w:after="0"/>
            </w:pPr>
            <w:r/>
            <w:r/>
          </w:p>
        </w:tc>
        <w:tc>
          <w:tcPr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8" w:type="dxa"/>
            <w:textDirection w:val="lrTb"/>
            <w:noWrap w:val="false"/>
          </w:tcPr>
          <w:p>
            <w:pPr>
              <w:spacing w:after="0"/>
            </w:pPr>
            <w:r/>
            <w:r/>
          </w:p>
        </w:tc>
        <w:tc>
          <w:tcPr>
            <w:shd w:val="clear" w:color="auto" w:fill="c0c0c0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34" w:type="dxa"/>
            <w:textDirection w:val="lrTb"/>
            <w:noWrap w:val="false"/>
          </w:tcPr>
          <w:p>
            <w:pPr>
              <w:spacing w:after="0"/>
            </w:pPr>
            <w:r>
              <w:t xml:space="preserve">(не заполняется)</w:t>
            </w:r>
            <w:r/>
          </w:p>
        </w:tc>
        <w:tc>
          <w:tcPr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spacing w:after="0"/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43" w:type="dxa"/>
            <w:textDirection w:val="lrTb"/>
            <w:noWrap w:val="false"/>
          </w:tcPr>
          <w:p>
            <w:pPr>
              <w:spacing w:after="0"/>
            </w:pPr>
            <w:r>
              <w:t xml:space="preserve">Государственная организация, имеющая долю акций Коммерческой компании № 2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spacing w:after="0"/>
            </w:pPr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spacing w:after="0"/>
            </w:pPr>
            <w:r/>
            <w:r/>
          </w:p>
        </w:tc>
        <w:tc>
          <w:tcPr>
            <w:shd w:val="clear" w:color="auto" w:fill="c0c0c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8" w:type="dxa"/>
            <w:textDirection w:val="lrTb"/>
            <w:noWrap w:val="false"/>
          </w:tcPr>
          <w:p>
            <w:pPr>
              <w:spacing w:after="0"/>
            </w:pPr>
            <w:r>
              <w:t xml:space="preserve">(не заполняется)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34" w:type="dxa"/>
            <w:textDirection w:val="lrTb"/>
            <w:noWrap w:val="false"/>
          </w:tcPr>
          <w:p>
            <w:pPr>
              <w:spacing w:after="0"/>
            </w:pPr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spacing w:after="0"/>
            </w:pPr>
            <w:r/>
            <w:r/>
          </w:p>
        </w:tc>
      </w:tr>
    </w:tbl>
    <w:p>
      <w:pPr>
        <w:ind w:left="142" w:hanging="709"/>
        <w:spacing w:after="0"/>
      </w:pPr>
      <w:r/>
      <w:r/>
    </w:p>
    <w:p>
      <w:pPr>
        <w:ind w:left="142" w:hanging="709"/>
        <w:spacing w:after="0"/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-91440</wp:posOffset>
                </wp:positionH>
                <wp:positionV relativeFrom="paragraph">
                  <wp:posOffset>-41275</wp:posOffset>
                </wp:positionV>
                <wp:extent cx="5334000" cy="1143000"/>
                <wp:effectExtent l="0" t="0" r="0" b="0"/>
                <wp:wrapNone/>
                <wp:docPr id="9" name="Поле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4000" cy="1143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  <a:round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b/>
                                <w:u w:val="single"/>
                              </w:rPr>
                            </w:pPr>
                            <w:r>
                              <w:rPr>
                                <w:b/>
                                <w:u w:val="single"/>
                              </w:rPr>
                              <w:t xml:space="preserve">Вопрос 3:</w:t>
                            </w:r>
                            <w:r>
                              <w:rPr>
                                <w:b/>
                                <w:u w:val="single"/>
                              </w:rPr>
                            </w:r>
                            <w:r>
                              <w:rPr>
                                <w:b/>
                                <w:u w:val="single"/>
                              </w:rPr>
                            </w:r>
                          </w:p>
                          <w:p>
                            <w:r>
                              <w:t xml:space="preserve">Является ли акционером Вашей компании с долей собственности более 20% </w:t>
                            </w:r>
                            <w:r>
                              <w:rPr>
                                <w:b/>
                              </w:rPr>
                              <w:t xml:space="preserve">Коммерческая компания</w:t>
                            </w:r>
                            <w:r>
                              <w:t xml:space="preserve">, имеющая в  составе своих ключевых акционеров </w:t>
                            </w:r>
                            <w:r>
                              <w:rPr>
                                <w:b/>
                              </w:rPr>
                              <w:t xml:space="preserve">коммерческую компанию</w:t>
                            </w:r>
                            <w:r>
                              <w:t xml:space="preserve">, имеющую в составе своих акционеров государство?</w:t>
                            </w:r>
                            <w:r/>
                          </w:p>
                          <w:p>
                            <w:r/>
                            <w:r/>
                          </w:p>
                        </w:txbxContent>
                      </wps:txbx>
                      <wps:bodyPr rot="0" vert="horz" wrap="square" lIns="85725" tIns="47625" rIns="85725" bIns="4762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hape 8" o:spid="_x0000_s8" o:spt="202" type="#_x0000_t202" style="position:absolute;z-index:251666432;o:allowoverlap:true;o:allowincell:true;mso-position-horizontal-relative:text;margin-left:-7.20pt;mso-position-horizontal:absolute;mso-position-vertical-relative:text;margin-top:-3.25pt;mso-position-vertical:absolute;width:420.00pt;height:90.00pt;mso-wrap-distance-left:9.00pt;mso-wrap-distance-top:0.00pt;mso-wrap-distance-right:9.00pt;mso-wrap-distance-bottom:0.00pt;v-text-anchor:top;visibility:visible;" fillcolor="#FFFFFF" stroked="f">
                <v:textbox inset="0,0,0,0">
                  <w:txbxContent>
                    <w:p>
                      <w:pPr>
                        <w:rPr>
                          <w:b/>
                          <w:u w:val="single"/>
                        </w:rPr>
                      </w:pPr>
                      <w:r>
                        <w:rPr>
                          <w:b/>
                          <w:u w:val="single"/>
                        </w:rPr>
                        <w:t xml:space="preserve">Вопрос 3:</w:t>
                      </w:r>
                      <w:r>
                        <w:rPr>
                          <w:b/>
                          <w:u w:val="single"/>
                        </w:rPr>
                      </w:r>
                      <w:r>
                        <w:rPr>
                          <w:b/>
                          <w:u w:val="single"/>
                        </w:rPr>
                      </w:r>
                    </w:p>
                    <w:p>
                      <w:r>
                        <w:t xml:space="preserve">Является ли акционером Вашей компании с долей собственности более 20% </w:t>
                      </w:r>
                      <w:r>
                        <w:rPr>
                          <w:b/>
                        </w:rPr>
                        <w:t xml:space="preserve">Коммерческая компания</w:t>
                      </w:r>
                      <w:r>
                        <w:t xml:space="preserve">, имеющая в  составе своих ключевых акционеров </w:t>
                      </w:r>
                      <w:r>
                        <w:rPr>
                          <w:b/>
                        </w:rPr>
                        <w:t xml:space="preserve">коммерческую компанию</w:t>
                      </w:r>
                      <w:r>
                        <w:t xml:space="preserve">, имеющую в составе своих акционеров государство?</w:t>
                      </w:r>
                      <w:r/>
                    </w:p>
                    <w:p>
                      <w:r/>
                      <w:r/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5532120</wp:posOffset>
                </wp:positionH>
                <wp:positionV relativeFrom="paragraph">
                  <wp:posOffset>665480</wp:posOffset>
                </wp:positionV>
                <wp:extent cx="685800" cy="304800"/>
                <wp:effectExtent l="0" t="0" r="19050" b="19050"/>
                <wp:wrapNone/>
                <wp:docPr id="10" name="Поле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5800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 xml:space="preserve">Да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hape 9" o:spid="_x0000_s9" o:spt="202" type="#_x0000_t202" style="position:absolute;z-index:251667456;o:allowoverlap:true;o:allowincell:true;mso-position-horizontal-relative:text;margin-left:435.60pt;mso-position-horizontal:absolute;mso-position-vertical-relative:text;margin-top:52.40pt;mso-position-vertical:absolute;width:54.00pt;height:24.00pt;mso-wrap-distance-left:9.00pt;mso-wrap-distance-top:0.00pt;mso-wrap-distance-right:9.00pt;mso-wrap-distance-bottom:0.00pt;v-text-anchor:top;visibility:visible;" fillcolor="#FFFFFF" strokecolor="#000000" strokeweight="0.75pt">
                <v:textbox inset="0,0,0,0">
                  <w:txbxContent>
                    <w:p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 xml:space="preserve">Да</w:t>
                      </w:r>
                      <w:r>
                        <w:rPr>
                          <w:sz w:val="22"/>
                          <w:szCs w:val="22"/>
                        </w:rPr>
                      </w:r>
                      <w:r>
                        <w:rPr>
                          <w:sz w:val="22"/>
                          <w:szCs w:val="22"/>
                        </w:rPr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5532120</wp:posOffset>
                </wp:positionH>
                <wp:positionV relativeFrom="paragraph">
                  <wp:posOffset>1278890</wp:posOffset>
                </wp:positionV>
                <wp:extent cx="685800" cy="228600"/>
                <wp:effectExtent l="0" t="0" r="19050" b="19050"/>
                <wp:wrapNone/>
                <wp:docPr id="11" name="Поле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58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 xml:space="preserve">Нет</w:t>
                            </w:r>
                            <w:r>
                              <w:rPr>
                                <w:sz w:val="20"/>
                              </w:rPr>
                            </w:r>
                            <w:r>
                              <w:rPr>
                                <w:sz w:val="20"/>
                              </w:rPr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hape 10" o:spid="_x0000_s10" o:spt="202" type="#_x0000_t202" style="position:absolute;z-index:251668480;o:allowoverlap:true;o:allowincell:true;mso-position-horizontal-relative:text;margin-left:435.60pt;mso-position-horizontal:absolute;mso-position-vertical-relative:text;margin-top:100.70pt;mso-position-vertical:absolute;width:54.00pt;height:18.00pt;mso-wrap-distance-left:9.00pt;mso-wrap-distance-top:0.00pt;mso-wrap-distance-right:9.00pt;mso-wrap-distance-bottom:0.00pt;v-text-anchor:top;visibility:visible;" fillcolor="#FFFFFF" strokecolor="#000000" strokeweight="0.75pt">
                <v:textbox inset="0,0,0,0">
                  <w:txbxContent>
                    <w:p>
                      <w:pPr>
                        <w:jc w:val="center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 xml:space="preserve">Нет</w:t>
                      </w:r>
                      <w:r>
                        <w:rPr>
                          <w:sz w:val="20"/>
                        </w:rPr>
                      </w:r>
                      <w:r>
                        <w:rPr>
                          <w:sz w:val="20"/>
                        </w:rPr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5334000</wp:posOffset>
                </wp:positionH>
                <wp:positionV relativeFrom="paragraph">
                  <wp:posOffset>123825</wp:posOffset>
                </wp:positionV>
                <wp:extent cx="990600" cy="373380"/>
                <wp:effectExtent l="0" t="0" r="0" b="7620"/>
                <wp:wrapNone/>
                <wp:docPr id="12" name="Поле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90600" cy="3733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  <a:round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 xml:space="preserve">ненужное зачеркнуть</w:t>
                            </w:r>
                            <w:r>
                              <w:rPr>
                                <w:b/>
                                <w:sz w:val="20"/>
                              </w:rPr>
                            </w:r>
                            <w:r>
                              <w:rPr>
                                <w:b/>
                                <w:sz w:val="20"/>
                              </w:rPr>
                            </w:r>
                          </w:p>
                        </w:txbxContent>
                      </wps:txbx>
                      <wps:bodyPr rot="0" vert="horz" wrap="square" lIns="85725" tIns="47625" rIns="85725" bIns="4762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hape 11" o:spid="_x0000_s11" o:spt="202" type="#_x0000_t202" style="position:absolute;z-index:251669504;o:allowoverlap:true;o:allowincell:true;mso-position-horizontal-relative:text;margin-left:420.00pt;mso-position-horizontal:absolute;mso-position-vertical-relative:text;margin-top:9.75pt;mso-position-vertical:absolute;width:78.00pt;height:29.40pt;mso-wrap-distance-left:9.00pt;mso-wrap-distance-top:0.00pt;mso-wrap-distance-right:9.00pt;mso-wrap-distance-bottom:0.00pt;v-text-anchor:top;visibility:visible;" fillcolor="#FFFFFF" stroked="f">
                <v:textbox inset="0,0,0,0">
                  <w:txbxContent>
                    <w:p>
                      <w:pPr>
                        <w:jc w:val="center"/>
                        <w:rPr>
                          <w:b/>
                          <w:sz w:val="20"/>
                        </w:rPr>
                      </w:pPr>
                      <w:r>
                        <w:rPr>
                          <w:b/>
                          <w:sz w:val="20"/>
                        </w:rPr>
                        <w:t xml:space="preserve">ненужное зачеркнуть</w:t>
                      </w:r>
                      <w:r>
                        <w:rPr>
                          <w:b/>
                          <w:sz w:val="20"/>
                        </w:rPr>
                      </w:r>
                      <w:r>
                        <w:rPr>
                          <w:b/>
                          <w:sz w:val="20"/>
                        </w:rPr>
                      </w:r>
                    </w:p>
                  </w:txbxContent>
                </v:textbox>
              </v:shape>
            </w:pict>
          </mc:Fallback>
        </mc:AlternateContent>
      </w:r>
      <w:r/>
    </w:p>
    <w:p>
      <w:pPr>
        <w:ind w:left="142" w:hanging="709"/>
        <w:spacing w:after="0"/>
      </w:pPr>
      <w:r/>
      <w:r/>
    </w:p>
    <w:p>
      <w:pPr>
        <w:ind w:left="142" w:hanging="709"/>
        <w:spacing w:after="0"/>
      </w:pPr>
      <w:r/>
      <w:r/>
    </w:p>
    <w:p>
      <w:pPr>
        <w:ind w:left="142" w:hanging="709"/>
        <w:spacing w:after="0"/>
      </w:pPr>
      <w:r/>
      <w:r/>
    </w:p>
    <w:p>
      <w:pPr>
        <w:ind w:left="142" w:hanging="709"/>
        <w:spacing w:after="0"/>
      </w:pPr>
      <w:r/>
      <w:r/>
    </w:p>
    <w:p>
      <w:pPr>
        <w:ind w:left="142" w:hanging="709"/>
        <w:spacing w:after="0"/>
      </w:pPr>
      <w:r/>
      <w:r/>
    </w:p>
    <w:p>
      <w:pPr>
        <w:ind w:left="142" w:hanging="709"/>
        <w:spacing w:after="0"/>
      </w:pPr>
      <w:r/>
      <w:r/>
    </w:p>
    <w:p>
      <w:pPr>
        <w:numPr>
          <w:ilvl w:val="0"/>
          <w:numId w:val="17"/>
        </w:numPr>
        <w:ind w:left="142" w:hanging="284"/>
        <w:jc w:val="left"/>
        <w:spacing w:after="0"/>
        <w:widowControl w:val="off"/>
      </w:pPr>
      <w:r>
        <w:t xml:space="preserve">Если Вы ответили «Да», заполните, пожалуйста, таблицу:</w:t>
      </w:r>
      <w:r/>
    </w:p>
    <w:p>
      <w:pPr>
        <w:ind w:left="142" w:hanging="709"/>
        <w:spacing w:after="0"/>
      </w:pPr>
      <w:r/>
      <w:r/>
    </w:p>
    <w:tbl>
      <w:tblPr>
        <w:tblW w:w="1031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2092"/>
        <w:gridCol w:w="1277"/>
        <w:gridCol w:w="1134"/>
        <w:gridCol w:w="1442"/>
        <w:gridCol w:w="1620"/>
        <w:gridCol w:w="1620"/>
        <w:gridCol w:w="1129"/>
      </w:tblGrid>
      <w:tr>
        <w:tblPrEx/>
        <w:trPr/>
        <w:tc>
          <w:tcPr>
            <w:shd w:val="clear" w:color="auto" w:fill="ccffcc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tcW w:w="2092" w:type="dxa"/>
            <w:vAlign w:val="center"/>
            <w:textDirection w:val="lrTb"/>
            <w:noWrap w:val="false"/>
          </w:tcPr>
          <w:p>
            <w:pPr>
              <w:ind w:right="57"/>
              <w:spacing w:after="0"/>
            </w:pPr>
            <w:r/>
            <w:r/>
          </w:p>
        </w:tc>
        <w:tc>
          <w:tcPr>
            <w:shd w:val="clear" w:color="auto" w:fill="ccffcc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tcW w:w="1277" w:type="dxa"/>
            <w:vAlign w:val="center"/>
            <w:textDirection w:val="lrTb"/>
            <w:noWrap w:val="false"/>
          </w:tcPr>
          <w:p>
            <w:pPr>
              <w:ind w:right="57"/>
              <w:jc w:val="center"/>
              <w:spacing w:after="0"/>
            </w:pPr>
            <w:r>
              <w:rPr>
                <w:b/>
              </w:rPr>
              <w:t xml:space="preserve">Полное наименование</w:t>
            </w:r>
            <w:r/>
          </w:p>
        </w:tc>
        <w:tc>
          <w:tcPr>
            <w:shd w:val="clear" w:color="auto" w:fill="ccffcc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right="57"/>
              <w:jc w:val="center"/>
              <w:spacing w:after="0"/>
            </w:pPr>
            <w:r>
              <w:rPr>
                <w:b/>
              </w:rPr>
              <w:t xml:space="preserve">Адрес официального сайта в сети Интернет</w:t>
            </w:r>
            <w:r/>
          </w:p>
        </w:tc>
        <w:tc>
          <w:tcPr>
            <w:shd w:val="clear" w:color="auto" w:fill="ccffcc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tcW w:w="1442" w:type="dxa"/>
            <w:vAlign w:val="center"/>
            <w:textDirection w:val="lrTb"/>
            <w:noWrap w:val="false"/>
          </w:tcPr>
          <w:p>
            <w:pPr>
              <w:ind w:right="57"/>
              <w:jc w:val="center"/>
              <w:spacing w:after="0"/>
            </w:pPr>
            <w:r>
              <w:rPr>
                <w:b/>
              </w:rPr>
              <w:t xml:space="preserve">Доля  в акционерном капитале Вашей компании, %</w:t>
            </w:r>
            <w:r/>
          </w:p>
        </w:tc>
        <w:tc>
          <w:tcPr>
            <w:shd w:val="clear" w:color="auto" w:fill="ccffcc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tcW w:w="1620" w:type="dxa"/>
            <w:vAlign w:val="center"/>
            <w:textDirection w:val="lrTb"/>
            <w:noWrap w:val="false"/>
          </w:tcPr>
          <w:p>
            <w:pPr>
              <w:ind w:right="57"/>
              <w:jc w:val="center"/>
              <w:spacing w:after="0"/>
            </w:pPr>
            <w:r>
              <w:rPr>
                <w:b/>
              </w:rPr>
              <w:t xml:space="preserve">Доля  в акционерном капитале  Коммерческой компании – Вашего прямого акционера,  %</w:t>
            </w:r>
            <w:r/>
          </w:p>
        </w:tc>
        <w:tc>
          <w:tcPr>
            <w:shd w:val="clear" w:color="auto" w:fill="ccffcc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tcW w:w="1620" w:type="dxa"/>
            <w:vAlign w:val="center"/>
            <w:textDirection w:val="lrTb"/>
            <w:noWrap w:val="false"/>
          </w:tcPr>
          <w:p>
            <w:pPr>
              <w:ind w:right="57"/>
              <w:jc w:val="center"/>
              <w:spacing w:after="0"/>
            </w:pPr>
            <w:r>
              <w:rPr>
                <w:b/>
              </w:rPr>
              <w:t xml:space="preserve">Доля  в акционерном капитале  Коммерческой компании – акционера 2-го уровня,  %</w:t>
            </w:r>
            <w:r/>
          </w:p>
        </w:tc>
        <w:tc>
          <w:tcPr>
            <w:shd w:val="clear" w:color="auto" w:fill="ccffcc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tcW w:w="1129" w:type="dxa"/>
            <w:vAlign w:val="center"/>
            <w:textDirection w:val="lrTb"/>
            <w:noWrap w:val="false"/>
          </w:tcPr>
          <w:p>
            <w:pPr>
              <w:ind w:right="57"/>
              <w:jc w:val="center"/>
              <w:spacing w:after="0"/>
            </w:pPr>
            <w:r>
              <w:rPr>
                <w:b/>
              </w:rPr>
              <w:t xml:space="preserve">С какой даты является акционером (участником)</w:t>
            </w:r>
            <w:r/>
          </w:p>
        </w:tc>
      </w:tr>
      <w:tr>
        <w:tblPrEx/>
        <w:trPr/>
        <w:tc>
          <w:tcPr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092" w:type="dxa"/>
            <w:textDirection w:val="lrTb"/>
            <w:noWrap w:val="false"/>
          </w:tcPr>
          <w:p>
            <w:pPr>
              <w:ind w:right="57"/>
              <w:spacing w:after="0"/>
            </w:pPr>
            <w:r>
              <w:t xml:space="preserve">Коммерческая компания № 1- прямой акционер Вашей компании</w:t>
            </w:r>
            <w:r/>
          </w:p>
        </w:tc>
        <w:tc>
          <w:tcPr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7" w:type="dxa"/>
            <w:textDirection w:val="lrTb"/>
            <w:noWrap w:val="false"/>
          </w:tcPr>
          <w:p>
            <w:pPr>
              <w:ind w:right="57"/>
              <w:spacing w:after="0"/>
            </w:pPr>
            <w:r/>
            <w:r/>
          </w:p>
        </w:tc>
        <w:tc>
          <w:tcPr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ind w:right="57"/>
              <w:spacing w:after="0"/>
            </w:pPr>
            <w:r/>
            <w:r/>
          </w:p>
        </w:tc>
        <w:tc>
          <w:tcPr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42" w:type="dxa"/>
            <w:textDirection w:val="lrTb"/>
            <w:noWrap w:val="false"/>
          </w:tcPr>
          <w:p>
            <w:pPr>
              <w:ind w:right="57"/>
              <w:spacing w:after="0"/>
            </w:pPr>
            <w:r/>
            <w:r/>
          </w:p>
        </w:tc>
        <w:tc>
          <w:tcPr>
            <w:shd w:val="clear" w:color="auto" w:fill="c0c0c0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20" w:type="dxa"/>
            <w:textDirection w:val="lrTb"/>
            <w:noWrap w:val="false"/>
          </w:tcPr>
          <w:p>
            <w:pPr>
              <w:ind w:right="57"/>
              <w:spacing w:after="0"/>
            </w:pPr>
            <w:r>
              <w:t xml:space="preserve">(не заполняется)</w:t>
            </w:r>
            <w:r/>
          </w:p>
        </w:tc>
        <w:tc>
          <w:tcPr>
            <w:shd w:val="clear" w:color="auto" w:fill="c0c0c0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20" w:type="dxa"/>
            <w:textDirection w:val="lrTb"/>
            <w:noWrap w:val="false"/>
          </w:tcPr>
          <w:p>
            <w:pPr>
              <w:ind w:right="57"/>
              <w:spacing w:after="0"/>
            </w:pPr>
            <w:r>
              <w:t xml:space="preserve">(не заполняется)</w:t>
            </w:r>
            <w:r/>
          </w:p>
        </w:tc>
        <w:tc>
          <w:tcPr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29" w:type="dxa"/>
            <w:textDirection w:val="lrTb"/>
            <w:noWrap w:val="false"/>
          </w:tcPr>
          <w:p>
            <w:pPr>
              <w:ind w:right="57"/>
              <w:spacing w:after="0"/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092" w:type="dxa"/>
            <w:textDirection w:val="lrTb"/>
            <w:noWrap w:val="false"/>
          </w:tcPr>
          <w:p>
            <w:pPr>
              <w:ind w:right="57"/>
              <w:spacing w:after="0"/>
            </w:pPr>
            <w:r>
              <w:t xml:space="preserve">Коммерческая компания № 2 – акционер 2 уровня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7" w:type="dxa"/>
            <w:textDirection w:val="lrTb"/>
            <w:noWrap w:val="false"/>
          </w:tcPr>
          <w:p>
            <w:pPr>
              <w:ind w:right="57"/>
              <w:spacing w:after="0"/>
            </w:pPr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ind w:right="57"/>
              <w:spacing w:after="0"/>
            </w:pPr>
            <w:r/>
            <w:r/>
          </w:p>
        </w:tc>
        <w:tc>
          <w:tcPr>
            <w:shd w:val="clear" w:color="auto" w:fill="c0c0c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42" w:type="dxa"/>
            <w:textDirection w:val="lrTb"/>
            <w:noWrap w:val="false"/>
          </w:tcPr>
          <w:p>
            <w:pPr>
              <w:ind w:right="57"/>
              <w:spacing w:after="0"/>
            </w:pPr>
            <w:r>
              <w:t xml:space="preserve">(не заполняется)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20" w:type="dxa"/>
            <w:textDirection w:val="lrTb"/>
            <w:noWrap w:val="false"/>
          </w:tcPr>
          <w:p>
            <w:pPr>
              <w:ind w:right="57"/>
              <w:spacing w:after="0"/>
            </w:pPr>
            <w:r/>
            <w:r/>
          </w:p>
        </w:tc>
        <w:tc>
          <w:tcPr>
            <w:shd w:val="clear" w:color="auto" w:fill="c0c0c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20" w:type="dxa"/>
            <w:textDirection w:val="lrTb"/>
            <w:noWrap w:val="false"/>
          </w:tcPr>
          <w:p>
            <w:pPr>
              <w:ind w:right="57"/>
              <w:spacing w:after="0"/>
            </w:pPr>
            <w:r>
              <w:t xml:space="preserve">(не заполняется)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29" w:type="dxa"/>
            <w:textDirection w:val="lrTb"/>
            <w:noWrap w:val="false"/>
          </w:tcPr>
          <w:p>
            <w:pPr>
              <w:ind w:right="57"/>
              <w:spacing w:after="0"/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tcW w:w="2092" w:type="dxa"/>
            <w:textDirection w:val="lrTb"/>
            <w:noWrap w:val="false"/>
          </w:tcPr>
          <w:p>
            <w:pPr>
              <w:ind w:right="57"/>
              <w:spacing w:after="0"/>
            </w:pPr>
            <w:r>
              <w:t xml:space="preserve">Государственная организация, имеющая долю акций  Компании № 2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tcW w:w="1277" w:type="dxa"/>
            <w:textDirection w:val="lrTb"/>
            <w:noWrap w:val="false"/>
          </w:tcPr>
          <w:p>
            <w:pPr>
              <w:ind w:right="57"/>
              <w:spacing w:after="0"/>
            </w:pPr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ind w:right="57"/>
              <w:spacing w:after="0"/>
            </w:pPr>
            <w:r/>
            <w:r/>
          </w:p>
        </w:tc>
        <w:tc>
          <w:tcPr>
            <w:shd w:val="clear" w:color="auto" w:fill="c0c0c0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tcW w:w="1442" w:type="dxa"/>
            <w:textDirection w:val="lrTb"/>
            <w:noWrap w:val="false"/>
          </w:tcPr>
          <w:p>
            <w:pPr>
              <w:ind w:right="57"/>
              <w:spacing w:after="0"/>
            </w:pPr>
            <w:r>
              <w:t xml:space="preserve">(не заполняется)</w:t>
            </w:r>
            <w:r/>
          </w:p>
        </w:tc>
        <w:tc>
          <w:tcPr>
            <w:shd w:val="clear" w:color="auto" w:fill="c0c0c0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tcW w:w="1620" w:type="dxa"/>
            <w:textDirection w:val="lrTb"/>
            <w:noWrap w:val="false"/>
          </w:tcPr>
          <w:p>
            <w:pPr>
              <w:ind w:right="57"/>
              <w:spacing w:after="0"/>
            </w:pPr>
            <w:r>
              <w:t xml:space="preserve">(не заполняется)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tcW w:w="1620" w:type="dxa"/>
            <w:textDirection w:val="lrTb"/>
            <w:noWrap w:val="false"/>
          </w:tcPr>
          <w:p>
            <w:pPr>
              <w:ind w:right="57"/>
              <w:spacing w:after="0"/>
            </w:pPr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tcW w:w="1129" w:type="dxa"/>
            <w:textDirection w:val="lrTb"/>
            <w:noWrap w:val="false"/>
          </w:tcPr>
          <w:p>
            <w:pPr>
              <w:ind w:right="57"/>
              <w:spacing w:after="0"/>
            </w:pPr>
            <w:r/>
            <w:r/>
          </w:p>
        </w:tc>
      </w:tr>
      <w:tr>
        <w:tblPrEx/>
        <w:trPr/>
        <w:tc>
          <w:tcPr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092" w:type="dxa"/>
            <w:textDirection w:val="lrTb"/>
            <w:noWrap w:val="false"/>
          </w:tcPr>
          <w:p>
            <w:pPr>
              <w:ind w:right="57"/>
              <w:spacing w:after="0"/>
            </w:pPr>
            <w:r>
              <w:t xml:space="preserve">Коммерческая компания № 3- прямой акционер Вашей компании</w:t>
            </w:r>
            <w:r/>
          </w:p>
        </w:tc>
        <w:tc>
          <w:tcPr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7" w:type="dxa"/>
            <w:textDirection w:val="lrTb"/>
            <w:noWrap w:val="false"/>
          </w:tcPr>
          <w:p>
            <w:pPr>
              <w:ind w:right="57"/>
              <w:spacing w:after="0"/>
            </w:pPr>
            <w:r/>
            <w:r/>
          </w:p>
        </w:tc>
        <w:tc>
          <w:tcPr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ind w:right="57"/>
              <w:spacing w:after="0"/>
            </w:pPr>
            <w:r/>
            <w:r/>
          </w:p>
        </w:tc>
        <w:tc>
          <w:tcPr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42" w:type="dxa"/>
            <w:textDirection w:val="lrTb"/>
            <w:noWrap w:val="false"/>
          </w:tcPr>
          <w:p>
            <w:pPr>
              <w:ind w:right="57"/>
              <w:spacing w:after="0"/>
            </w:pPr>
            <w:r/>
            <w:r/>
          </w:p>
        </w:tc>
        <w:tc>
          <w:tcPr>
            <w:shd w:val="clear" w:color="auto" w:fill="c0c0c0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20" w:type="dxa"/>
            <w:textDirection w:val="lrTb"/>
            <w:noWrap w:val="false"/>
          </w:tcPr>
          <w:p>
            <w:pPr>
              <w:ind w:right="57"/>
              <w:spacing w:after="0"/>
            </w:pPr>
            <w:r>
              <w:t xml:space="preserve">(не заполняется)</w:t>
            </w:r>
            <w:r/>
          </w:p>
        </w:tc>
        <w:tc>
          <w:tcPr>
            <w:shd w:val="clear" w:color="auto" w:fill="c0c0c0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20" w:type="dxa"/>
            <w:textDirection w:val="lrTb"/>
            <w:noWrap w:val="false"/>
          </w:tcPr>
          <w:p>
            <w:pPr>
              <w:ind w:right="57"/>
              <w:spacing w:after="0"/>
            </w:pPr>
            <w:r>
              <w:t xml:space="preserve">(не заполняется)</w:t>
            </w:r>
            <w:r/>
          </w:p>
        </w:tc>
        <w:tc>
          <w:tcPr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29" w:type="dxa"/>
            <w:textDirection w:val="lrTb"/>
            <w:noWrap w:val="false"/>
          </w:tcPr>
          <w:p>
            <w:pPr>
              <w:ind w:right="57"/>
              <w:spacing w:after="0"/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092" w:type="dxa"/>
            <w:textDirection w:val="lrTb"/>
            <w:noWrap w:val="false"/>
          </w:tcPr>
          <w:p>
            <w:pPr>
              <w:ind w:right="57"/>
              <w:spacing w:after="0"/>
            </w:pPr>
            <w:r>
              <w:t xml:space="preserve">Коммерческая компания № 4 – акционер 2 уровня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7" w:type="dxa"/>
            <w:textDirection w:val="lrTb"/>
            <w:noWrap w:val="false"/>
          </w:tcPr>
          <w:p>
            <w:pPr>
              <w:ind w:right="57"/>
              <w:spacing w:after="0"/>
            </w:pPr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ind w:right="57"/>
              <w:spacing w:after="0"/>
            </w:pPr>
            <w:r/>
            <w:r/>
          </w:p>
        </w:tc>
        <w:tc>
          <w:tcPr>
            <w:shd w:val="clear" w:color="auto" w:fill="c0c0c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42" w:type="dxa"/>
            <w:textDirection w:val="lrTb"/>
            <w:noWrap w:val="false"/>
          </w:tcPr>
          <w:p>
            <w:pPr>
              <w:ind w:right="57"/>
              <w:spacing w:after="0"/>
            </w:pPr>
            <w:r>
              <w:t xml:space="preserve">(не заполняется)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20" w:type="dxa"/>
            <w:textDirection w:val="lrTb"/>
            <w:noWrap w:val="false"/>
          </w:tcPr>
          <w:p>
            <w:pPr>
              <w:ind w:right="57"/>
              <w:spacing w:after="0"/>
            </w:pPr>
            <w:r/>
            <w:r/>
          </w:p>
        </w:tc>
        <w:tc>
          <w:tcPr>
            <w:shd w:val="clear" w:color="auto" w:fill="c0c0c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20" w:type="dxa"/>
            <w:textDirection w:val="lrTb"/>
            <w:noWrap w:val="false"/>
          </w:tcPr>
          <w:p>
            <w:pPr>
              <w:ind w:right="57"/>
              <w:spacing w:after="0"/>
            </w:pPr>
            <w:r>
              <w:t xml:space="preserve">(не заполняется)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29" w:type="dxa"/>
            <w:textDirection w:val="lrTb"/>
            <w:noWrap w:val="false"/>
          </w:tcPr>
          <w:p>
            <w:pPr>
              <w:ind w:right="57"/>
              <w:spacing w:after="0"/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092" w:type="dxa"/>
            <w:textDirection w:val="lrTb"/>
            <w:noWrap w:val="false"/>
          </w:tcPr>
          <w:p>
            <w:pPr>
              <w:ind w:right="57"/>
              <w:spacing w:after="0"/>
            </w:pPr>
            <w:r>
              <w:t xml:space="preserve">Государственная организация, имеющая долю акций  Компании № 4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7" w:type="dxa"/>
            <w:textDirection w:val="lrTb"/>
            <w:noWrap w:val="false"/>
          </w:tcPr>
          <w:p>
            <w:pPr>
              <w:ind w:right="57"/>
              <w:spacing w:after="0"/>
            </w:pPr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ind w:right="57"/>
              <w:spacing w:after="0"/>
            </w:pPr>
            <w:r/>
            <w:r/>
          </w:p>
        </w:tc>
        <w:tc>
          <w:tcPr>
            <w:shd w:val="clear" w:color="auto" w:fill="c0c0c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42" w:type="dxa"/>
            <w:textDirection w:val="lrTb"/>
            <w:noWrap w:val="false"/>
          </w:tcPr>
          <w:p>
            <w:pPr>
              <w:ind w:right="57"/>
              <w:spacing w:after="0"/>
            </w:pPr>
            <w:r>
              <w:t xml:space="preserve">(не заполняется)</w:t>
            </w:r>
            <w:r/>
          </w:p>
        </w:tc>
        <w:tc>
          <w:tcPr>
            <w:shd w:val="clear" w:color="auto" w:fill="c0c0c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20" w:type="dxa"/>
            <w:textDirection w:val="lrTb"/>
            <w:noWrap w:val="false"/>
          </w:tcPr>
          <w:p>
            <w:pPr>
              <w:ind w:right="57"/>
              <w:spacing w:after="0"/>
            </w:pPr>
            <w:r>
              <w:t xml:space="preserve">(не заполняется)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20" w:type="dxa"/>
            <w:textDirection w:val="lrTb"/>
            <w:noWrap w:val="false"/>
          </w:tcPr>
          <w:p>
            <w:pPr>
              <w:ind w:right="57"/>
              <w:spacing w:after="0"/>
            </w:pPr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29" w:type="dxa"/>
            <w:textDirection w:val="lrTb"/>
            <w:noWrap w:val="false"/>
          </w:tcPr>
          <w:p>
            <w:pPr>
              <w:ind w:right="57"/>
              <w:spacing w:after="0"/>
            </w:pPr>
            <w:r/>
            <w:r/>
          </w:p>
        </w:tc>
      </w:tr>
    </w:tbl>
    <w:p>
      <w:pPr>
        <w:ind w:left="142" w:hanging="709"/>
        <w:spacing w:after="0"/>
        <w:tabs>
          <w:tab w:val="left" w:pos="993" w:leader="none"/>
        </w:tabs>
      </w:pPr>
      <w:r/>
      <w:r/>
    </w:p>
    <w:p>
      <w:pPr>
        <w:ind w:left="142" w:hanging="284"/>
        <w:spacing w:after="0"/>
        <w:tabs>
          <w:tab w:val="left" w:pos="993" w:leader="none"/>
        </w:tabs>
        <w:rPr>
          <w:b/>
          <w:bCs/>
          <w:u w:val="single"/>
        </w:rPr>
      </w:pPr>
      <w:r>
        <w:rPr>
          <w:b/>
          <w:bCs/>
          <w:u w:val="single"/>
        </w:rPr>
        <w:t xml:space="preserve">Вопрос 4: </w:t>
      </w:r>
      <w:r>
        <w:rPr>
          <w:b/>
          <w:bCs/>
          <w:u w:val="single"/>
        </w:rPr>
      </w:r>
      <w:r>
        <w:rPr>
          <w:b/>
          <w:bCs/>
          <w:u w:val="single"/>
        </w:rPr>
      </w:r>
    </w:p>
    <w:p>
      <w:pPr>
        <w:ind w:left="142" w:hanging="284"/>
        <w:spacing w:after="0"/>
        <w:tabs>
          <w:tab w:val="left" w:pos="993" w:leader="none"/>
        </w:tabs>
        <w:rPr>
          <w:bCs/>
        </w:rPr>
      </w:pPr>
      <w:r>
        <w:rPr>
          <w:bCs/>
        </w:rPr>
        <w:t xml:space="preserve">Имеет ли Ваша компания иной способ налогообложения? </w:t>
      </w:r>
      <w:r>
        <w:rPr>
          <w:bCs/>
        </w:rPr>
      </w:r>
      <w:r>
        <w:rPr>
          <w:bCs/>
        </w:rPr>
      </w:r>
    </w:p>
    <w:p>
      <w:pPr>
        <w:pStyle w:val="1311"/>
        <w:numPr>
          <w:ilvl w:val="0"/>
          <w:numId w:val="18"/>
        </w:numPr>
        <w:ind w:left="142" w:hanging="284"/>
        <w:jc w:val="both"/>
        <w:tabs>
          <w:tab w:val="left" w:pos="993" w:leader="none"/>
        </w:tabs>
      </w:pPr>
      <w:r>
        <w:t xml:space="preserve">Если Вы ответили «Да», заполните, пожалуйста, таблицу:</w:t>
      </w:r>
      <w:r/>
    </w:p>
    <w:p>
      <w:pPr>
        <w:ind w:left="142" w:hanging="709"/>
        <w:spacing w:after="0"/>
        <w:tabs>
          <w:tab w:val="left" w:pos="993" w:leader="none"/>
        </w:tabs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85"/>
        <w:gridCol w:w="1282"/>
        <w:gridCol w:w="1290"/>
        <w:gridCol w:w="1443"/>
        <w:gridCol w:w="1347"/>
        <w:gridCol w:w="1784"/>
        <w:gridCol w:w="1340"/>
      </w:tblGrid>
      <w:tr>
        <w:tblPrEx/>
        <w:trPr/>
        <w:tc>
          <w:tcPr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040" w:type="dxa"/>
            <w:textDirection w:val="lrTb"/>
            <w:noWrap w:val="false"/>
          </w:tcPr>
          <w:p>
            <w:pPr>
              <w:jc w:val="center"/>
              <w:tabs>
                <w:tab w:val="left" w:pos="993" w:leader="none"/>
              </w:tabs>
              <w:rPr>
                <w:bCs/>
              </w:rPr>
            </w:pPr>
            <w:r>
              <w:rPr>
                <w:bCs/>
              </w:rPr>
              <w:t xml:space="preserve">Налогоплательщиком</w:t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47" w:type="dxa"/>
            <w:vMerge w:val="restart"/>
            <w:textDirection w:val="lrTb"/>
            <w:noWrap w:val="false"/>
          </w:tcPr>
          <w:p>
            <w:pPr>
              <w:jc w:val="center"/>
              <w:tabs>
                <w:tab w:val="left" w:pos="993" w:leader="none"/>
              </w:tabs>
              <w:rPr>
                <w:bCs/>
              </w:rPr>
            </w:pPr>
            <w:r>
              <w:rPr>
                <w:bCs/>
              </w:rPr>
              <w:t xml:space="preserve">Участник проекта «Сколково»</w:t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47" w:type="dxa"/>
            <w:vMerge w:val="restart"/>
            <w:textDirection w:val="lrTb"/>
            <w:noWrap w:val="false"/>
          </w:tcPr>
          <w:p>
            <w:pPr>
              <w:jc w:val="center"/>
              <w:tabs>
                <w:tab w:val="left" w:pos="993" w:leader="none"/>
              </w:tabs>
              <w:rPr>
                <w:bCs/>
              </w:rPr>
            </w:pPr>
            <w:r>
              <w:rPr>
                <w:bCs/>
              </w:rPr>
              <w:t xml:space="preserve">Применяет ставку 0% по налогу на прибыль</w:t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47" w:type="dxa"/>
            <w:vMerge w:val="restart"/>
            <w:textDirection w:val="lrTb"/>
            <w:noWrap w:val="false"/>
          </w:tcPr>
          <w:p>
            <w:pPr>
              <w:jc w:val="center"/>
              <w:tabs>
                <w:tab w:val="left" w:pos="993" w:leader="none"/>
              </w:tabs>
              <w:rPr>
                <w:bCs/>
              </w:rPr>
            </w:pPr>
            <w:r>
              <w:rPr>
                <w:bCs/>
              </w:rPr>
              <w:t xml:space="preserve">Резидент особой экономической зоны</w:t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47" w:type="dxa"/>
            <w:vMerge w:val="restart"/>
            <w:textDirection w:val="lrTb"/>
            <w:noWrap w:val="false"/>
          </w:tcPr>
          <w:p>
            <w:pPr>
              <w:jc w:val="center"/>
              <w:tabs>
                <w:tab w:val="left" w:pos="993" w:leader="none"/>
              </w:tabs>
              <w:rPr>
                <w:bCs/>
              </w:rPr>
            </w:pPr>
            <w:r>
              <w:rPr>
                <w:bCs/>
              </w:rPr>
              <w:t xml:space="preserve">Резидент офшорной зоны</w:t>
            </w:r>
            <w:r>
              <w:rPr>
                <w:bCs/>
              </w:rPr>
            </w:r>
            <w:r>
              <w:rPr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47" w:type="dxa"/>
            <w:textDirection w:val="lrTb"/>
            <w:noWrap w:val="false"/>
          </w:tcPr>
          <w:p>
            <w:pPr>
              <w:jc w:val="center"/>
              <w:tabs>
                <w:tab w:val="left" w:pos="993" w:leader="none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ЕСХН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46" w:type="dxa"/>
            <w:textDirection w:val="lrTb"/>
            <w:noWrap w:val="false"/>
          </w:tcPr>
          <w:p>
            <w:pPr>
              <w:jc w:val="center"/>
              <w:tabs>
                <w:tab w:val="left" w:pos="993" w:leader="none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ЕНВД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47" w:type="dxa"/>
            <w:textDirection w:val="lrTb"/>
            <w:noWrap w:val="false"/>
          </w:tcPr>
          <w:p>
            <w:pPr>
              <w:jc w:val="center"/>
              <w:tabs>
                <w:tab w:val="left" w:pos="993" w:leader="none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НДПИ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rPr>
                <w:bCs/>
              </w:rPr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rPr>
                <w:bCs/>
              </w:rPr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rPr>
                <w:bCs/>
              </w:rPr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rPr>
                <w:bCs/>
              </w:rPr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47" w:type="dxa"/>
            <w:textDirection w:val="lrTb"/>
            <w:noWrap w:val="false"/>
          </w:tcPr>
          <w:p>
            <w:pPr>
              <w:tabs>
                <w:tab w:val="left" w:pos="993" w:leader="none"/>
              </w:tabs>
              <w:rPr>
                <w:bCs/>
              </w:rPr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46" w:type="dxa"/>
            <w:textDirection w:val="lrTb"/>
            <w:noWrap w:val="false"/>
          </w:tcPr>
          <w:p>
            <w:pPr>
              <w:tabs>
                <w:tab w:val="left" w:pos="993" w:leader="none"/>
              </w:tabs>
              <w:rPr>
                <w:bCs/>
              </w:rPr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47" w:type="dxa"/>
            <w:textDirection w:val="lrTb"/>
            <w:noWrap w:val="false"/>
          </w:tcPr>
          <w:p>
            <w:pPr>
              <w:tabs>
                <w:tab w:val="left" w:pos="993" w:leader="none"/>
              </w:tabs>
              <w:rPr>
                <w:bCs/>
              </w:rPr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47" w:type="dxa"/>
            <w:textDirection w:val="lrTb"/>
            <w:noWrap w:val="false"/>
          </w:tcPr>
          <w:p>
            <w:pPr>
              <w:tabs>
                <w:tab w:val="left" w:pos="993" w:leader="none"/>
              </w:tabs>
              <w:rPr>
                <w:bCs/>
              </w:rPr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47" w:type="dxa"/>
            <w:textDirection w:val="lrTb"/>
            <w:noWrap w:val="false"/>
          </w:tcPr>
          <w:p>
            <w:pPr>
              <w:tabs>
                <w:tab w:val="left" w:pos="993" w:leader="none"/>
              </w:tabs>
              <w:rPr>
                <w:bCs/>
              </w:rPr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47" w:type="dxa"/>
            <w:textDirection w:val="lrTb"/>
            <w:noWrap w:val="false"/>
          </w:tcPr>
          <w:p>
            <w:pPr>
              <w:tabs>
                <w:tab w:val="left" w:pos="993" w:leader="none"/>
              </w:tabs>
              <w:rPr>
                <w:bCs/>
              </w:rPr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47" w:type="dxa"/>
            <w:textDirection w:val="lrTb"/>
            <w:noWrap w:val="false"/>
          </w:tcPr>
          <w:p>
            <w:pPr>
              <w:tabs>
                <w:tab w:val="left" w:pos="993" w:leader="none"/>
              </w:tabs>
              <w:rPr>
                <w:bCs/>
              </w:rPr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</w:tc>
      </w:tr>
    </w:tbl>
    <w:p>
      <w:pPr>
        <w:pStyle w:val="1338"/>
        <w:ind w:left="142" w:hanging="284"/>
        <w:jc w:val="left"/>
        <w:widowControl w:val="off"/>
        <w:rPr>
          <w:szCs w:val="24"/>
        </w:rPr>
      </w:pPr>
      <w:r>
        <w:rPr>
          <w:szCs w:val="24"/>
        </w:rPr>
      </w:r>
      <w:r>
        <w:rPr>
          <w:szCs w:val="24"/>
        </w:rPr>
      </w:r>
      <w:r>
        <w:rPr>
          <w:szCs w:val="24"/>
        </w:rPr>
      </w:r>
    </w:p>
    <w:p>
      <w:pPr>
        <w:pStyle w:val="1338"/>
        <w:ind w:left="142" w:hanging="284"/>
        <w:jc w:val="left"/>
        <w:widowControl w:val="off"/>
        <w:rPr>
          <w:szCs w:val="24"/>
        </w:rPr>
      </w:pPr>
      <w:r>
        <w:rPr>
          <w:szCs w:val="24"/>
        </w:rPr>
      </w:r>
      <w:r>
        <w:rPr>
          <w:szCs w:val="24"/>
        </w:rPr>
      </w:r>
      <w:r>
        <w:rPr>
          <w:szCs w:val="24"/>
        </w:rPr>
      </w:r>
    </w:p>
    <w:p>
      <w:pPr>
        <w:ind w:right="424"/>
        <w:spacing w:after="0"/>
        <w:tabs>
          <w:tab w:val="left" w:pos="4820" w:leader="none"/>
        </w:tabs>
      </w:pPr>
      <w:r>
        <w:t xml:space="preserve">____________________________</w:t>
      </w:r>
      <w:r>
        <w:t xml:space="preserve"> </w:t>
      </w:r>
      <w:r>
        <w:tab/>
      </w:r>
      <w:r>
        <w:t xml:space="preserve">[</w:t>
      </w:r>
      <w:r>
        <w:rPr>
          <w:shd w:val="clear" w:color="auto" w:fill="d9d9d9" w:themeFill="background1" w:themeFillShade="D9"/>
        </w:rPr>
        <w:t xml:space="preserve">указать</w:t>
      </w:r>
      <w:r>
        <w:t xml:space="preserve">] ____________________________</w:t>
      </w:r>
      <w:r/>
    </w:p>
    <w:p>
      <w:pPr>
        <w:ind w:right="566"/>
        <w:jc w:val="center"/>
        <w:spacing w:after="0"/>
        <w:tabs>
          <w:tab w:val="left" w:pos="5529" w:leader="none"/>
          <w:tab w:val="left" w:pos="7797" w:leader="none"/>
        </w:tabs>
        <w:rPr>
          <w:vertAlign w:val="superscript"/>
        </w:rPr>
      </w:pPr>
      <w:r>
        <w:rPr>
          <w:vertAlign w:val="superscript"/>
        </w:rPr>
        <w:t xml:space="preserve">(подпись, М.П.) </w:t>
      </w:r>
      <w:r>
        <w:rPr>
          <w:vertAlign w:val="superscript"/>
        </w:rPr>
        <w:t xml:space="preserve"> </w:t>
      </w:r>
      <w:r>
        <w:rPr>
          <w:vertAlign w:val="superscript"/>
        </w:rPr>
        <w:tab/>
      </w:r>
      <w:r>
        <w:rPr>
          <w:vertAlign w:val="superscript"/>
        </w:rPr>
        <w:t xml:space="preserve">(фамилия, имя, отчество подписавшего, должность)</w:t>
      </w:r>
      <w:r>
        <w:rPr>
          <w:vertAlign w:val="superscript"/>
        </w:rPr>
      </w:r>
      <w:r>
        <w:rPr>
          <w:vertAlign w:val="superscript"/>
        </w:rPr>
      </w:r>
    </w:p>
    <w:p>
      <w:pPr>
        <w:pStyle w:val="1338"/>
        <w:ind w:left="142" w:hanging="284"/>
        <w:jc w:val="left"/>
        <w:widowControl w:val="off"/>
        <w:rPr>
          <w:szCs w:val="24"/>
        </w:rPr>
      </w:pPr>
      <w:r>
        <w:rPr>
          <w:szCs w:val="24"/>
        </w:rPr>
      </w:r>
      <w:r>
        <w:rPr>
          <w:szCs w:val="24"/>
        </w:rPr>
      </w:r>
      <w:r>
        <w:rPr>
          <w:szCs w:val="24"/>
        </w:rPr>
      </w:r>
    </w:p>
    <w:p>
      <w:pPr>
        <w:spacing w:after="0"/>
        <w:rPr>
          <w:b/>
        </w:rPr>
      </w:pPr>
      <w:r>
        <w:rPr>
          <w:b/>
        </w:rPr>
        <w:t xml:space="preserve">Инструкции по заполнению:</w:t>
      </w:r>
      <w:r>
        <w:rPr>
          <w:b/>
        </w:rPr>
      </w:r>
      <w:r>
        <w:rPr>
          <w:b/>
        </w:rPr>
      </w:r>
    </w:p>
    <w:p>
      <w:pPr>
        <w:pStyle w:val="1311"/>
        <w:numPr>
          <w:ilvl w:val="0"/>
          <w:numId w:val="14"/>
        </w:numPr>
        <w:ind w:left="426"/>
        <w:jc w:val="both"/>
      </w:pPr>
      <w:r>
        <w:t xml:space="preserve">данные инструкции не следует воспроизводить в документах, подготовленных Участником закупки;</w:t>
      </w:r>
      <w:r/>
    </w:p>
    <w:p>
      <w:pPr>
        <w:pStyle w:val="1311"/>
        <w:numPr>
          <w:ilvl w:val="0"/>
          <w:numId w:val="14"/>
        </w:numPr>
        <w:ind w:left="426"/>
        <w:jc w:val="both"/>
      </w:pPr>
      <w:r>
        <w:t xml:space="preserve">участник закупки приводит наименование процедуры закупки, номер лота (в случае проведения многолотовой закупки), номер извещения о проведении закупки в ЕИС;</w:t>
      </w:r>
      <w:r/>
    </w:p>
    <w:p>
      <w:pPr>
        <w:pStyle w:val="1311"/>
        <w:numPr>
          <w:ilvl w:val="0"/>
          <w:numId w:val="14"/>
        </w:numPr>
        <w:ind w:left="426"/>
        <w:jc w:val="both"/>
      </w:pPr>
      <w:r>
        <w:t xml:space="preserve">участник закупки приводит</w:t>
      </w:r>
      <w:r>
        <w:t xml:space="preserve"> </w:t>
      </w:r>
      <w:r>
        <w:t xml:space="preserve">наименования юридического лица и адреса места нахождения, либо фамилию, имя, отчество, паспортные данные, адрес прописки (адрес регистрации) физического лица, в том числе индивидуального предпринимателя;</w:t>
      </w:r>
      <w:r/>
    </w:p>
    <w:p>
      <w:pPr>
        <w:pStyle w:val="1311"/>
        <w:numPr>
          <w:ilvl w:val="0"/>
          <w:numId w:val="14"/>
        </w:numPr>
        <w:ind w:left="426"/>
        <w:jc w:val="both"/>
      </w:pPr>
      <w:r>
        <w:t xml:space="preserve">форма составляется на фирменном бланке Участника закупки</w:t>
      </w:r>
      <w:r>
        <w:t xml:space="preserve">;</w:t>
      </w:r>
      <w:r/>
    </w:p>
    <w:p>
      <w:pPr>
        <w:pStyle w:val="1311"/>
        <w:numPr>
          <w:ilvl w:val="0"/>
          <w:numId w:val="14"/>
        </w:numPr>
        <w:ind w:left="426"/>
        <w:jc w:val="both"/>
        <w:widowControl w:val="off"/>
      </w:pPr>
      <w:r>
        <w:t xml:space="preserve">у</w:t>
      </w:r>
      <w:r>
        <w:t xml:space="preserve">частник </w:t>
      </w:r>
      <w:r>
        <w:t xml:space="preserve">закупки</w:t>
      </w:r>
      <w:r>
        <w:t xml:space="preserve"> должен заполнить приведенную выше первую таблицу по всем позициям. В случае отсутствия каких-либо данных указать слово «нет</w:t>
      </w:r>
      <w:r>
        <w:t xml:space="preserve"> данных</w:t>
      </w:r>
      <w:r>
        <w:t xml:space="preserve">»</w:t>
      </w:r>
      <w:r>
        <w:t xml:space="preserve">;</w:t>
      </w:r>
      <w:r/>
    </w:p>
    <w:p>
      <w:pPr>
        <w:pStyle w:val="1311"/>
        <w:numPr>
          <w:ilvl w:val="0"/>
          <w:numId w:val="14"/>
        </w:numPr>
        <w:ind w:left="426"/>
        <w:jc w:val="both"/>
        <w:widowControl w:val="off"/>
        <w:rPr>
          <w:b/>
        </w:rPr>
      </w:pPr>
      <w:r>
        <w:t xml:space="preserve">в</w:t>
      </w:r>
      <w:r>
        <w:t xml:space="preserve"> №п/п 21 «Банковские реквизиты…» указываются реквизиты, которые будут использованы при заключении Договора.</w:t>
      </w:r>
      <w:r>
        <w:rPr>
          <w:b/>
        </w:rPr>
      </w:r>
      <w:r>
        <w:rPr>
          <w:b/>
        </w:rPr>
      </w:r>
    </w:p>
    <w:p>
      <w:pPr>
        <w:pStyle w:val="1311"/>
        <w:numPr>
          <w:ilvl w:val="0"/>
          <w:numId w:val="14"/>
        </w:numPr>
        <w:ind w:left="426"/>
        <w:jc w:val="both"/>
        <w:widowControl w:val="off"/>
      </w:pPr>
      <w:r>
        <w:t xml:space="preserve">и</w:t>
      </w:r>
      <w:r>
        <w:t xml:space="preserve">нформация по вопросам 1, 2, 3 и 4 заполняется в соответствии с требованиями, указанными непосредственно в данных вопросах.</w:t>
      </w:r>
      <w:r/>
    </w:p>
    <w:p>
      <w:pPr>
        <w:widowControl w:val="off"/>
      </w:pPr>
      <w:r/>
      <w:r/>
    </w:p>
    <w:p>
      <w:pPr>
        <w:ind w:left="426"/>
        <w:spacing w:after="0"/>
      </w:pPr>
      <w:r>
        <w:rPr>
          <w:b/>
        </w:rPr>
        <w:t xml:space="preserve">Участник </w:t>
      </w:r>
      <w:r>
        <w:rPr>
          <w:b/>
        </w:rPr>
        <w:t xml:space="preserve">закупки</w:t>
      </w:r>
      <w:r>
        <w:rPr>
          <w:b/>
        </w:rPr>
        <w:t xml:space="preserve"> должен приложить</w:t>
      </w:r>
      <w:r>
        <w:rPr>
          <w:b/>
        </w:rPr>
        <w:t xml:space="preserve"> файл</w:t>
      </w:r>
      <w:r>
        <w:rPr>
          <w:b/>
        </w:rPr>
        <w:t xml:space="preserve"> </w:t>
      </w:r>
      <w:r>
        <w:rPr>
          <w:b/>
        </w:rPr>
        <w:t xml:space="preserve">Анкет</w:t>
      </w:r>
      <w:r>
        <w:rPr>
          <w:b/>
        </w:rPr>
        <w:t xml:space="preserve">а</w:t>
      </w:r>
      <w:r>
        <w:rPr>
          <w:b/>
        </w:rPr>
        <w:t xml:space="preserve">, </w:t>
      </w:r>
      <w:r>
        <w:rPr>
          <w:b/>
        </w:rPr>
        <w:t xml:space="preserve">выполненный в</w:t>
      </w:r>
      <w:r>
        <w:rPr>
          <w:b/>
        </w:rPr>
        <w:t xml:space="preserve"> </w:t>
      </w:r>
      <w:r>
        <w:rPr>
          <w:b/>
        </w:rPr>
        <w:t xml:space="preserve">редактируемом</w:t>
      </w:r>
      <w:r>
        <w:rPr>
          <w:b/>
        </w:rPr>
        <w:t xml:space="preserve"> формате</w:t>
      </w:r>
      <w:r>
        <w:rPr>
          <w:b/>
        </w:rPr>
        <w:t xml:space="preserve">.</w:t>
      </w:r>
      <w:r/>
    </w:p>
    <w:p>
      <w:pPr>
        <w:widowControl w:val="off"/>
      </w:pPr>
      <w:r/>
      <w:r/>
    </w:p>
    <w:p>
      <w:pPr>
        <w:pStyle w:val="1149"/>
        <w:ind w:left="0" w:firstLine="0"/>
        <w:pageBreakBefore/>
        <w:spacing w:after="0"/>
        <w:tabs>
          <w:tab w:val="clear" w:pos="576" w:leader="none"/>
        </w:tabs>
        <w:rPr>
          <w:sz w:val="24"/>
          <w:szCs w:val="24"/>
        </w:rPr>
      </w:pPr>
      <w:r/>
      <w:bookmarkStart w:id="365" w:name="_Toc50"/>
      <w:r/>
      <w:bookmarkStart w:id="260" w:name="_ФОРМА_8._Декларация"/>
      <w:r/>
      <w:bookmarkEnd w:id="260"/>
      <w:r>
        <w:rPr>
          <w:sz w:val="24"/>
          <w:szCs w:val="24"/>
        </w:rPr>
        <w:t xml:space="preserve">ФОРМА </w:t>
      </w:r>
      <w:r>
        <w:rPr>
          <w:sz w:val="24"/>
          <w:szCs w:val="24"/>
        </w:rPr>
        <w:t xml:space="preserve">Декларация о соответствии Участника закупки критериям отнесения к субъектам малого/среднего предпринимательства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</w:r>
      <w:bookmarkEnd w:id="365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before="120"/>
        <w:rPr>
          <w:sz w:val="2"/>
          <w:szCs w:val="2"/>
        </w:rPr>
      </w:pPr>
      <w:r>
        <w:rPr>
          <w:sz w:val="2"/>
          <w:szCs w:val="2"/>
        </w:rPr>
      </w:r>
      <w:r>
        <w:rPr>
          <w:sz w:val="2"/>
          <w:szCs w:val="2"/>
        </w:rPr>
      </w:r>
      <w:r>
        <w:rPr>
          <w:sz w:val="2"/>
          <w:szCs w:val="2"/>
        </w:rPr>
      </w:r>
    </w:p>
    <w:p>
      <w:pPr>
        <w:jc w:val="center"/>
        <w:rPr>
          <w:b/>
        </w:rPr>
      </w:pPr>
      <w:r>
        <w:rPr>
          <w:b/>
        </w:rPr>
        <w:t xml:space="preserve">Декларация о соответствии Участника закупки критериям отнесения к субъектам малого/среднего предпринимательства </w:t>
      </w:r>
      <w:r>
        <w:rPr>
          <w:b/>
        </w:rPr>
      </w:r>
      <w:r>
        <w:rPr>
          <w:b/>
        </w:rPr>
      </w:r>
    </w:p>
    <w:p>
      <w:r/>
      <w:r/>
    </w:p>
    <w:p>
      <w:pPr>
        <w:jc w:val="left"/>
        <w:spacing w:after="0"/>
      </w:pPr>
      <w:r>
        <w:t xml:space="preserve">Наименование </w:t>
      </w:r>
      <w:r>
        <w:t xml:space="preserve">закупки</w:t>
      </w:r>
      <w:r>
        <w:t xml:space="preserve"> _______________________________________ Лот № ___</w:t>
      </w:r>
      <w:r>
        <w:t xml:space="preserve">______</w:t>
      </w:r>
      <w:r/>
    </w:p>
    <w:p>
      <w:pPr>
        <w:spacing w:after="0"/>
      </w:pPr>
      <w:r>
        <w:t xml:space="preserve">Номер извещения о проведении закупки в ЕИС: _________________________________</w:t>
      </w:r>
      <w:r/>
    </w:p>
    <w:p>
      <w:pPr>
        <w:spacing w:after="0"/>
      </w:pPr>
      <w:r>
        <w:t xml:space="preserve">Наименование участника закупки:</w:t>
      </w:r>
      <w:r>
        <w:t xml:space="preserve"> </w:t>
      </w:r>
      <w:r>
        <w:t xml:space="preserve">_______________________________________</w:t>
      </w:r>
      <w:r>
        <w:t xml:space="preserve">______</w:t>
      </w:r>
      <w:r/>
    </w:p>
    <w:p>
      <w:r>
        <w:t xml:space="preserve">Юридический адрес (место нахождения) участника закупки:</w:t>
      </w:r>
      <w:r>
        <w:t xml:space="preserve"> </w:t>
      </w:r>
      <w:r>
        <w:t xml:space="preserve">_______________________</w:t>
      </w:r>
      <w:r/>
    </w:p>
    <w:p>
      <w:r/>
      <w:r/>
    </w:p>
    <w:p>
      <w:pPr>
        <w:pStyle w:val="13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Подтверждаем, что _____________________________________________,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jc w:val="center"/>
        <w:spacing w:after="0"/>
      </w:pPr>
      <w:r>
        <w:t xml:space="preserve">(наименование организации)</w:t>
      </w:r>
      <w:r/>
    </w:p>
    <w:p>
      <w:pPr>
        <w:pStyle w:val="1340"/>
        <w:spacing w:before="0"/>
        <w:rPr>
          <w:rStyle w:val="1345"/>
          <w:rFonts w:ascii="Times New Roman" w:hAnsi="Times New Roman"/>
          <w:sz w:val="24"/>
          <w:szCs w:val="24"/>
        </w:rPr>
      </w:pPr>
      <w:r>
        <w:rPr>
          <w:rStyle w:val="1345"/>
          <w:rFonts w:ascii="Times New Roman" w:hAnsi="Times New Roman"/>
          <w:sz w:val="24"/>
          <w:szCs w:val="24"/>
        </w:rPr>
        <w:t xml:space="preserve">в соответствии со статьей 4 Федерального закона </w:t>
      </w:r>
      <w:r>
        <w:rPr>
          <w:rFonts w:ascii="Times New Roman" w:hAnsi="Times New Roman"/>
          <w:sz w:val="24"/>
          <w:szCs w:val="24"/>
        </w:rPr>
        <w:t xml:space="preserve">от 24.07.2007 г. № 209-ФЗ</w:t>
      </w:r>
      <w:r>
        <w:rPr>
          <w:rStyle w:val="1345"/>
          <w:rFonts w:ascii="Times New Roman" w:hAnsi="Times New Roman"/>
          <w:sz w:val="24"/>
          <w:szCs w:val="24"/>
        </w:rPr>
        <w:t xml:space="preserve"> «О развитии малого и среднего предпринимательства в Российской Федерации» удовлетворяет критериям отнесения организации к субъектам</w:t>
      </w:r>
      <w:r>
        <w:rPr>
          <w:rStyle w:val="1345"/>
          <w:rFonts w:ascii="Times New Roman" w:hAnsi="Times New Roman"/>
          <w:sz w:val="24"/>
          <w:szCs w:val="24"/>
        </w:rPr>
        <w:br/>
        <w:t xml:space="preserve">__________________________________________________________________</w:t>
      </w:r>
      <w:r>
        <w:rPr>
          <w:rStyle w:val="1345"/>
          <w:rFonts w:ascii="Times New Roman" w:hAnsi="Times New Roman"/>
          <w:sz w:val="24"/>
          <w:szCs w:val="24"/>
        </w:rPr>
      </w:r>
      <w:r>
        <w:rPr>
          <w:rStyle w:val="1345"/>
          <w:rFonts w:ascii="Times New Roman" w:hAnsi="Times New Roman"/>
          <w:sz w:val="24"/>
          <w:szCs w:val="24"/>
        </w:rPr>
      </w:r>
    </w:p>
    <w:p>
      <w:pPr>
        <w:jc w:val="center"/>
        <w:spacing w:after="0"/>
      </w:pPr>
      <w:r>
        <w:t xml:space="preserve">(указывается субъект малого или среднего предпринимательства в зависимости от критериев отнесения)</w:t>
      </w:r>
      <w:r/>
    </w:p>
    <w:p>
      <w:pPr>
        <w:pStyle w:val="1340"/>
        <w:rPr>
          <w:rFonts w:ascii="Times New Roman" w:hAnsi="Times New Roman"/>
          <w:sz w:val="24"/>
          <w:szCs w:val="24"/>
        </w:rPr>
      </w:pPr>
      <w:r>
        <w:rPr>
          <w:rStyle w:val="1345"/>
          <w:rFonts w:ascii="Times New Roman" w:hAnsi="Times New Roman"/>
          <w:sz w:val="24"/>
          <w:szCs w:val="24"/>
        </w:rPr>
        <w:t xml:space="preserve">предпринимательства, и сообщаем следующую информацию: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342"/>
        <w:numPr>
          <w:ilvl w:val="3"/>
          <w:numId w:val="19"/>
        </w:numPr>
        <w:ind w:left="425" w:hanging="425"/>
        <w:rPr>
          <w:rFonts w:ascii="Times New Roman" w:hAnsi="Times New Roman"/>
          <w:sz w:val="24"/>
          <w:szCs w:val="24"/>
        </w:rPr>
        <w:outlineLvl w:val="9"/>
      </w:pPr>
      <w:r>
        <w:rPr>
          <w:rFonts w:ascii="Times New Roman" w:hAnsi="Times New Roman"/>
          <w:sz w:val="24"/>
          <w:szCs w:val="24"/>
        </w:rPr>
        <w:t xml:space="preserve">Адрес</w:t>
      </w:r>
      <w:r>
        <w:rPr>
          <w:rStyle w:val="1345"/>
          <w:rFonts w:ascii="Times New Roman" w:hAnsi="Times New Roman"/>
          <w:sz w:val="24"/>
          <w:szCs w:val="24"/>
        </w:rPr>
        <w:t xml:space="preserve"> местонахождения (юридический адрес)</w:t>
      </w:r>
      <w:r>
        <w:rPr>
          <w:rFonts w:ascii="Times New Roman" w:hAnsi="Times New Roman"/>
          <w:sz w:val="24"/>
          <w:szCs w:val="24"/>
        </w:rPr>
        <w:t xml:space="preserve"> ________________________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342"/>
        <w:numPr>
          <w:ilvl w:val="3"/>
          <w:numId w:val="19"/>
        </w:numPr>
        <w:ind w:left="425" w:hanging="425"/>
        <w:rPr>
          <w:rFonts w:ascii="Times New Roman" w:hAnsi="Times New Roman"/>
          <w:sz w:val="24"/>
          <w:szCs w:val="24"/>
        </w:rPr>
        <w:outlineLvl w:val="9"/>
      </w:pPr>
      <w:r>
        <w:rPr>
          <w:rFonts w:ascii="Times New Roman" w:hAnsi="Times New Roman"/>
          <w:sz w:val="24"/>
          <w:szCs w:val="24"/>
        </w:rPr>
        <w:t xml:space="preserve">ИНН / КПП: _______________________________________________________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340"/>
        <w:ind w:left="426"/>
        <w:jc w:val="center"/>
        <w:spacing w:befor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(№, сведения о дате выдачи документа и выдавшем его органе)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342"/>
        <w:numPr>
          <w:ilvl w:val="3"/>
          <w:numId w:val="19"/>
        </w:numPr>
        <w:ind w:left="425" w:hanging="425"/>
        <w:rPr>
          <w:rFonts w:ascii="Times New Roman" w:hAnsi="Times New Roman"/>
          <w:sz w:val="24"/>
          <w:szCs w:val="24"/>
        </w:rPr>
        <w:outlineLvl w:val="9"/>
      </w:pPr>
      <w:r>
        <w:rPr>
          <w:rFonts w:ascii="Times New Roman" w:hAnsi="Times New Roman"/>
          <w:sz w:val="24"/>
          <w:szCs w:val="24"/>
        </w:rPr>
        <w:t xml:space="preserve">ОГРН ____________________________________________________________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342"/>
        <w:numPr>
          <w:ilvl w:val="3"/>
          <w:numId w:val="19"/>
        </w:numPr>
        <w:ind w:left="425" w:hanging="425"/>
        <w:rPr>
          <w:rFonts w:ascii="Times New Roman" w:hAnsi="Times New Roman"/>
          <w:sz w:val="24"/>
          <w:szCs w:val="24"/>
        </w:rPr>
        <w:outlineLvl w:val="9"/>
      </w:pPr>
      <w:r>
        <w:rPr>
          <w:rFonts w:ascii="Times New Roman" w:hAnsi="Times New Roman"/>
          <w:sz w:val="24"/>
          <w:szCs w:val="24"/>
        </w:rPr>
        <w:t xml:space="preserve">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 деятельности</w:t>
      </w:r>
      <w:r>
        <w:rPr>
          <w:rFonts w:ascii="Times New Roman" w:hAnsi="Times New Roman"/>
          <w:sz w:val="24"/>
          <w:szCs w:val="24"/>
          <w:vertAlign w:val="superscript"/>
        </w:rPr>
        <w:footnoteReference w:id="5"/>
      </w:r>
      <w:r>
        <w:rPr>
          <w:rFonts w:ascii="Times New Roman" w:hAnsi="Times New Roman"/>
          <w:sz w:val="24"/>
          <w:szCs w:val="24"/>
        </w:rPr>
        <w:t xml:space="preserve">: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tbl>
      <w:tblPr>
        <w:tblW w:w="9924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4819"/>
        <w:gridCol w:w="1276"/>
        <w:gridCol w:w="1276"/>
        <w:gridCol w:w="1844"/>
      </w:tblGrid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pStyle w:val="1344"/>
              <w:ind w:left="-22" w:firstLine="34"/>
              <w:jc w:val="center"/>
              <w:keepNext/>
              <w:spacing w:befor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№ п/п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819" w:type="dxa"/>
            <w:vAlign w:val="center"/>
            <w:textDirection w:val="lrTb"/>
            <w:noWrap w:val="false"/>
          </w:tcPr>
          <w:p>
            <w:pPr>
              <w:pStyle w:val="1344"/>
              <w:ind w:left="0"/>
              <w:jc w:val="center"/>
              <w:spacing w:befor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Наименование сведений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1344"/>
              <w:ind w:left="0"/>
              <w:jc w:val="center"/>
              <w:spacing w:befor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Малые предприятия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1344"/>
              <w:ind w:left="0"/>
              <w:jc w:val="center"/>
              <w:spacing w:befor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Средние предприятия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pStyle w:val="1344"/>
              <w:ind w:left="-108" w:right="-109"/>
              <w:jc w:val="center"/>
              <w:spacing w:befor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Показатель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pStyle w:val="1344"/>
              <w:ind w:left="-22" w:firstLine="34"/>
              <w:jc w:val="center"/>
              <w:spacing w:befor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</w:t>
            </w:r>
            <w:r>
              <w:rPr>
                <w:rStyle w:val="1201"/>
                <w:sz w:val="24"/>
                <w:szCs w:val="24"/>
              </w:rPr>
              <w:footnoteReference w:id="6"/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819" w:type="dxa"/>
            <w:vAlign w:val="center"/>
            <w:textDirection w:val="lrTb"/>
            <w:noWrap w:val="false"/>
          </w:tcPr>
          <w:p>
            <w:pPr>
              <w:pStyle w:val="1344"/>
              <w:ind w:left="0" w:firstLine="34"/>
              <w:jc w:val="center"/>
              <w:spacing w:befor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1344"/>
              <w:ind w:left="0" w:firstLine="34"/>
              <w:jc w:val="center"/>
              <w:spacing w:befor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1344"/>
              <w:ind w:left="0" w:firstLine="34"/>
              <w:jc w:val="center"/>
              <w:spacing w:befor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pStyle w:val="1344"/>
              <w:ind w:left="-108" w:right="-109" w:firstLine="34"/>
              <w:jc w:val="center"/>
              <w:spacing w:befor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textDirection w:val="lrTb"/>
            <w:noWrap w:val="false"/>
          </w:tcPr>
          <w:p>
            <w:pPr>
              <w:pStyle w:val="1344"/>
              <w:numPr>
                <w:ilvl w:val="0"/>
                <w:numId w:val="20"/>
              </w:numPr>
              <w:ind w:left="-22" w:firstLine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819" w:type="dxa"/>
            <w:textDirection w:val="lrTb"/>
            <w:noWrap w:val="false"/>
          </w:tcPr>
          <w:p>
            <w:pPr>
              <w:pStyle w:val="1344"/>
              <w:ind w:left="0"/>
              <w:spacing w:befor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Суммарная доля участия Российской Федерации, субъектов Российской Федерации, муниципальных обр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2" w:type="dxa"/>
            <w:textDirection w:val="lrTb"/>
            <w:noWrap w:val="false"/>
          </w:tcPr>
          <w:p>
            <w:pPr>
              <w:pStyle w:val="1344"/>
              <w:ind w:left="0"/>
              <w:jc w:val="center"/>
              <w:spacing w:befor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не более 25 %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844" w:type="dxa"/>
            <w:textDirection w:val="lrTb"/>
            <w:noWrap w:val="false"/>
          </w:tcPr>
          <w:p>
            <w:pPr>
              <w:pStyle w:val="1344"/>
              <w:ind w:left="-108" w:right="-109"/>
              <w:jc w:val="center"/>
              <w:spacing w:befor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[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shd w:val="clear" w:color="auto" w:fill="d9d9d9" w:themeFill="background1" w:themeFillShade="D9"/>
              </w:rPr>
              <w:t xml:space="preserve">указываются сведения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]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textDirection w:val="lrTb"/>
            <w:noWrap w:val="false"/>
          </w:tcPr>
          <w:p>
            <w:pPr>
              <w:pStyle w:val="1344"/>
              <w:numPr>
                <w:ilvl w:val="0"/>
                <w:numId w:val="20"/>
              </w:numPr>
              <w:ind w:left="-22" w:firstLine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819" w:type="dxa"/>
            <w:textDirection w:val="lrTb"/>
            <w:noWrap w:val="false"/>
          </w:tcPr>
          <w:p>
            <w:pPr>
              <w:pStyle w:val="1344"/>
              <w:ind w:left="0"/>
              <w:spacing w:befor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</w:t>
            </w:r>
            <w:r>
              <w:rPr>
                <w:rStyle w:val="1201"/>
                <w:sz w:val="24"/>
                <w:szCs w:val="24"/>
              </w:rPr>
              <w:footnoteReference w:id="7"/>
            </w:r>
            <w:r>
              <w:rPr>
                <w:rFonts w:ascii="Times New Roman" w:hAnsi="Times New Roman"/>
                <w:sz w:val="24"/>
                <w:szCs w:val="24"/>
              </w:rPr>
              <w:t xml:space="preserve">, процентов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2" w:type="dxa"/>
            <w:textDirection w:val="lrTb"/>
            <w:noWrap w:val="false"/>
          </w:tcPr>
          <w:p>
            <w:pPr>
              <w:pStyle w:val="1344"/>
              <w:ind w:left="0"/>
              <w:jc w:val="center"/>
              <w:spacing w:befor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не более 49 %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844" w:type="dxa"/>
            <w:textDirection w:val="lrTb"/>
            <w:noWrap w:val="false"/>
          </w:tcPr>
          <w:p>
            <w:pPr>
              <w:pStyle w:val="1344"/>
              <w:ind w:left="-108" w:right="-109"/>
              <w:jc w:val="center"/>
              <w:spacing w:befor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[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shd w:val="clear" w:color="auto" w:fill="d9d9d9" w:themeFill="background1" w:themeFillShade="D9"/>
              </w:rPr>
              <w:t xml:space="preserve">указываются сведения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]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textDirection w:val="lrTb"/>
            <w:noWrap w:val="false"/>
          </w:tcPr>
          <w:p>
            <w:pPr>
              <w:pStyle w:val="1344"/>
              <w:numPr>
                <w:ilvl w:val="0"/>
                <w:numId w:val="20"/>
              </w:numPr>
              <w:ind w:left="-22" w:firstLine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819" w:type="dxa"/>
            <w:textDirection w:val="lrTb"/>
            <w:noWrap w:val="false"/>
          </w:tcPr>
          <w:p>
            <w:pPr>
              <w:pStyle w:val="1344"/>
              <w:ind w:left="0"/>
              <w:spacing w:befor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2" w:type="dxa"/>
            <w:textDirection w:val="lrTb"/>
            <w:noWrap w:val="false"/>
          </w:tcPr>
          <w:p>
            <w:pPr>
              <w:pStyle w:val="1344"/>
              <w:ind w:left="0"/>
              <w:jc w:val="center"/>
              <w:spacing w:befor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да (нет)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844" w:type="dxa"/>
            <w:textDirection w:val="lrTb"/>
            <w:noWrap w:val="false"/>
          </w:tcPr>
          <w:p>
            <w:pPr>
              <w:pStyle w:val="1344"/>
              <w:ind w:left="-108" w:right="-109"/>
              <w:jc w:val="center"/>
              <w:spacing w:befor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[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shd w:val="clear" w:color="auto" w:fill="d9d9d9" w:themeFill="background1" w:themeFillShade="D9"/>
              </w:rPr>
              <w:t xml:space="preserve">указываются сведения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]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textDirection w:val="lrTb"/>
            <w:noWrap w:val="false"/>
          </w:tcPr>
          <w:p>
            <w:pPr>
              <w:pStyle w:val="1344"/>
              <w:numPr>
                <w:ilvl w:val="0"/>
                <w:numId w:val="20"/>
              </w:numPr>
              <w:ind w:left="-22" w:firstLine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819" w:type="dxa"/>
            <w:textDirection w:val="lrTb"/>
            <w:noWrap w:val="false"/>
          </w:tcPr>
          <w:p>
            <w:pPr>
              <w:pStyle w:val="1344"/>
              <w:ind w:left="0"/>
              <w:spacing w:befor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Деятельность хозяйственного общества, хозяйственного партнерства заключается в практическом применении (внедрении) результатов интеллектуальной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2" w:type="dxa"/>
            <w:textDirection w:val="lrTb"/>
            <w:noWrap w:val="false"/>
          </w:tcPr>
          <w:p>
            <w:pPr>
              <w:pStyle w:val="1344"/>
              <w:ind w:left="0"/>
              <w:jc w:val="center"/>
              <w:spacing w:befor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да (нет)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844" w:type="dxa"/>
            <w:textDirection w:val="lrTb"/>
            <w:noWrap w:val="false"/>
          </w:tcPr>
          <w:p>
            <w:pPr>
              <w:pStyle w:val="1344"/>
              <w:ind w:left="-108" w:right="-109"/>
              <w:jc w:val="center"/>
              <w:spacing w:befor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[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shd w:val="clear" w:color="auto" w:fill="d9d9d9" w:themeFill="background1" w:themeFillShade="D9"/>
              </w:rPr>
              <w:t xml:space="preserve">указываются сведения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]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textDirection w:val="lrTb"/>
            <w:noWrap w:val="false"/>
          </w:tcPr>
          <w:p>
            <w:pPr>
              <w:pStyle w:val="1344"/>
              <w:numPr>
                <w:ilvl w:val="0"/>
                <w:numId w:val="20"/>
              </w:numPr>
              <w:ind w:left="-22" w:firstLine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819" w:type="dxa"/>
            <w:textDirection w:val="lrTb"/>
            <w:noWrap w:val="false"/>
          </w:tcPr>
          <w:p>
            <w:pPr>
              <w:pStyle w:val="1344"/>
              <w:ind w:left="0"/>
              <w:spacing w:befor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Наличие у хозяйственного общества, хозяйственного партнерства статуса участника проекта в соответствии с Федеральным законом «Об инновационном центре «Сколково»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2" w:type="dxa"/>
            <w:textDirection w:val="lrTb"/>
            <w:noWrap w:val="false"/>
          </w:tcPr>
          <w:p>
            <w:pPr>
              <w:pStyle w:val="1344"/>
              <w:ind w:left="0"/>
              <w:jc w:val="center"/>
              <w:spacing w:befor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да (нет)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844" w:type="dxa"/>
            <w:textDirection w:val="lrTb"/>
            <w:noWrap w:val="false"/>
          </w:tcPr>
          <w:p>
            <w:pPr>
              <w:pStyle w:val="1344"/>
              <w:ind w:left="-108" w:right="-109"/>
              <w:jc w:val="center"/>
              <w:spacing w:befor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[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shd w:val="clear" w:color="auto" w:fill="d9d9d9" w:themeFill="background1" w:themeFillShade="D9"/>
              </w:rPr>
              <w:t xml:space="preserve">указываются сведения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]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textDirection w:val="lrTb"/>
            <w:noWrap w:val="false"/>
          </w:tcPr>
          <w:p>
            <w:pPr>
              <w:pStyle w:val="1344"/>
              <w:numPr>
                <w:ilvl w:val="0"/>
                <w:numId w:val="20"/>
              </w:numPr>
              <w:ind w:left="-22" w:firstLine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819" w:type="dxa"/>
            <w:textDirection w:val="lrTb"/>
            <w:noWrap w:val="false"/>
          </w:tcPr>
          <w:p>
            <w:pPr>
              <w:pStyle w:val="1344"/>
              <w:ind w:left="0"/>
              <w:spacing w:befor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законом «О науке и государственной научно-технической политике»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2" w:type="dxa"/>
            <w:textDirection w:val="lrTb"/>
            <w:noWrap w:val="false"/>
          </w:tcPr>
          <w:p>
            <w:pPr>
              <w:pStyle w:val="1344"/>
              <w:ind w:left="0"/>
              <w:jc w:val="center"/>
              <w:spacing w:befor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да (нет)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844" w:type="dxa"/>
            <w:textDirection w:val="lrTb"/>
            <w:noWrap w:val="false"/>
          </w:tcPr>
          <w:p>
            <w:pPr>
              <w:pStyle w:val="1344"/>
              <w:ind w:left="-108" w:right="-109"/>
              <w:jc w:val="center"/>
              <w:spacing w:befor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[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shd w:val="clear" w:color="auto" w:fill="d9d9d9" w:themeFill="background1" w:themeFillShade="D9"/>
              </w:rPr>
              <w:t xml:space="preserve">указываются сведения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]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1383"/>
        </w:trPr>
        <w:tc>
          <w:tcPr>
            <w:tcBorders>
              <w:top w:val="single" w:color="auto" w:sz="6" w:space="0"/>
              <w:left w:val="single" w:color="auto" w:sz="6" w:space="0"/>
              <w:bottom w:val="none" w:color="000000" w:sz="4" w:space="0"/>
              <w:right w:val="single" w:color="auto" w:sz="6" w:space="0"/>
            </w:tcBorders>
            <w:tcW w:w="709" w:type="dxa"/>
            <w:vMerge w:val="restart"/>
            <w:textDirection w:val="lrTb"/>
            <w:noWrap w:val="false"/>
          </w:tcPr>
          <w:p>
            <w:pPr>
              <w:pStyle w:val="1344"/>
              <w:numPr>
                <w:ilvl w:val="0"/>
                <w:numId w:val="20"/>
              </w:numPr>
              <w:ind w:left="-22" w:firstLine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none" w:color="000000" w:sz="4" w:space="0"/>
              <w:right w:val="single" w:color="auto" w:sz="6" w:space="0"/>
            </w:tcBorders>
            <w:tcW w:w="4819" w:type="dxa"/>
            <w:vMerge w:val="restart"/>
            <w:textDirection w:val="lrTb"/>
            <w:noWrap w:val="false"/>
          </w:tcPr>
          <w:p>
            <w:pPr>
              <w:pStyle w:val="1344"/>
              <w:ind w:left="0"/>
              <w:spacing w:befor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Среднесписочная численность работников за предшест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вующий календарный год, человек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(информация указывается за последние 3 года)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pStyle w:val="1344"/>
              <w:ind w:left="0"/>
              <w:jc w:val="center"/>
              <w:spacing w:befor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 100 включительно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none" w:color="000000" w:sz="4" w:space="0"/>
              <w:right w:val="single" w:color="auto" w:sz="6" w:space="0"/>
            </w:tcBorders>
            <w:tcW w:w="1276" w:type="dxa"/>
            <w:vMerge w:val="restart"/>
            <w:textDirection w:val="lrTb"/>
            <w:noWrap w:val="false"/>
          </w:tcPr>
          <w:p>
            <w:pPr>
              <w:pStyle w:val="1344"/>
              <w:ind w:left="0"/>
              <w:jc w:val="center"/>
              <w:spacing w:befor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 101 до 250 включительно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none" w:color="000000" w:sz="4" w:space="0"/>
              <w:right w:val="single" w:color="auto" w:sz="6" w:space="0"/>
            </w:tcBorders>
            <w:tcW w:w="1844" w:type="dxa"/>
            <w:vMerge w:val="restart"/>
            <w:textDirection w:val="lrTb"/>
            <w:noWrap w:val="false"/>
          </w:tcPr>
          <w:p>
            <w:pPr>
              <w:pStyle w:val="1344"/>
              <w:ind w:left="-108" w:right="-109"/>
              <w:jc w:val="center"/>
              <w:spacing w:befor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[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shd w:val="clear" w:color="auto" w:fill="d9d9d9" w:themeFill="background1" w:themeFillShade="D9"/>
              </w:rPr>
              <w:t xml:space="preserve">указывается количество человек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shd w:val="clear" w:color="auto" w:fill="d9d9d9" w:themeFill="background1" w:themeFillShade="D9"/>
              </w:rPr>
              <w:br/>
              <w:t xml:space="preserve">(за каждый год)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]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709" w:type="dxa"/>
            <w:vMerge w:val="continue"/>
            <w:textDirection w:val="lrTb"/>
            <w:noWrap w:val="false"/>
          </w:tcPr>
          <w:p>
            <w:pPr>
              <w:pStyle w:val="1344"/>
              <w:numPr>
                <w:ilvl w:val="2"/>
                <w:numId w:val="20"/>
              </w:numPr>
              <w:ind w:left="-22" w:firstLine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4819" w:type="dxa"/>
            <w:vMerge w:val="continue"/>
            <w:textDirection w:val="lrTb"/>
            <w:noWrap w:val="false"/>
          </w:tcPr>
          <w:p>
            <w:pPr>
              <w:pStyle w:val="1344"/>
              <w:spacing w:befor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pStyle w:val="1344"/>
              <w:ind w:left="0"/>
              <w:jc w:val="center"/>
              <w:spacing w:befor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 15 - микропредприятие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276" w:type="dxa"/>
            <w:vMerge w:val="continue"/>
            <w:textDirection w:val="lrTb"/>
            <w:noWrap w:val="false"/>
          </w:tcPr>
          <w:p>
            <w:pPr>
              <w:pStyle w:val="1344"/>
              <w:ind w:left="0"/>
              <w:jc w:val="center"/>
              <w:spacing w:befor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4" w:type="dxa"/>
            <w:vMerge w:val="continue"/>
            <w:textDirection w:val="lrTb"/>
            <w:noWrap w:val="false"/>
          </w:tcPr>
          <w:p>
            <w:pPr>
              <w:pStyle w:val="1344"/>
              <w:ind w:left="-108" w:right="-109"/>
              <w:jc w:val="center"/>
              <w:spacing w:befor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634"/>
        </w:trPr>
        <w:tc>
          <w:tcPr>
            <w:tcBorders>
              <w:top w:val="single" w:color="auto" w:sz="6" w:space="0"/>
              <w:left w:val="single" w:color="auto" w:sz="6" w:space="0"/>
              <w:bottom w:val="none" w:color="000000" w:sz="4" w:space="0"/>
              <w:right w:val="single" w:color="auto" w:sz="6" w:space="0"/>
            </w:tcBorders>
            <w:tcW w:w="709" w:type="dxa"/>
            <w:vMerge w:val="restart"/>
            <w:textDirection w:val="lrTb"/>
            <w:noWrap w:val="false"/>
          </w:tcPr>
          <w:p>
            <w:pPr>
              <w:pStyle w:val="1344"/>
              <w:numPr>
                <w:ilvl w:val="0"/>
                <w:numId w:val="20"/>
              </w:numPr>
              <w:ind w:left="-22" w:firstLine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none" w:color="000000" w:sz="4" w:space="0"/>
              <w:right w:val="single" w:color="auto" w:sz="6" w:space="0"/>
            </w:tcBorders>
            <w:tcW w:w="4819" w:type="dxa"/>
            <w:vMerge w:val="restart"/>
            <w:textDirection w:val="lrTb"/>
            <w:noWrap w:val="false"/>
          </w:tcPr>
          <w:p>
            <w:pPr>
              <w:pStyle w:val="1344"/>
              <w:ind w:left="0"/>
              <w:spacing w:befor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Доход за предшествующий календарный год, который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определяется в порядке, установленном законодательством Российской Федерации о налогах и сборах, суммируется по всем осуществляемым видам деятельности и применяется по всем налоговым режимам, млн. рублей. (информация указывается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за последние 3 года)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pStyle w:val="1344"/>
              <w:ind w:left="0"/>
              <w:jc w:val="center"/>
              <w:spacing w:befor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none" w:color="000000" w:sz="4" w:space="0"/>
              <w:right w:val="single" w:color="auto" w:sz="6" w:space="0"/>
            </w:tcBorders>
            <w:tcW w:w="1276" w:type="dxa"/>
            <w:vMerge w:val="restart"/>
            <w:textDirection w:val="lrTb"/>
            <w:noWrap w:val="false"/>
          </w:tcPr>
          <w:p>
            <w:pPr>
              <w:pStyle w:val="1344"/>
              <w:ind w:left="0"/>
              <w:jc w:val="center"/>
              <w:spacing w:befor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tcW w:w="1844" w:type="dxa"/>
            <w:vMerge w:val="restart"/>
            <w:textDirection w:val="lrTb"/>
            <w:noWrap w:val="false"/>
          </w:tcPr>
          <w:p>
            <w:pPr>
              <w:pStyle w:val="1344"/>
              <w:ind w:left="-108" w:right="-109"/>
              <w:jc w:val="center"/>
              <w:spacing w:before="0"/>
              <w:rPr>
                <w:rFonts w:ascii="Times New Roman" w:hAnsi="Times New Roman"/>
                <w:bCs/>
                <w:iCs/>
                <w:sz w:val="24"/>
                <w:szCs w:val="24"/>
                <w:shd w:val="clear" w:color="auto" w:fill="d9d9d9" w:themeFill="background1" w:themeFillShade="D9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[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shd w:val="clear" w:color="auto" w:fill="d9d9d9" w:themeFill="background1" w:themeFillShade="D9"/>
              </w:rPr>
              <w:t xml:space="preserve">указывается в млн.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shd w:val="clear" w:color="auto" w:fill="d9d9d9" w:themeFill="background1" w:themeFillShade="D9"/>
              </w:rPr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shd w:val="clear" w:color="auto" w:fill="d9d9d9" w:themeFill="background1" w:themeFillShade="D9"/>
              </w:rPr>
            </w:r>
          </w:p>
          <w:p>
            <w:pPr>
              <w:pStyle w:val="1344"/>
              <w:ind w:left="-108" w:right="-109"/>
              <w:jc w:val="center"/>
              <w:spacing w:befor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shd w:val="clear" w:color="auto" w:fill="d9d9d9" w:themeFill="background1" w:themeFillShade="D9"/>
              </w:rPr>
              <w:t xml:space="preserve">рублей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shd w:val="clear" w:color="auto" w:fill="d9d9d9" w:themeFill="background1" w:themeFillShade="D9"/>
              </w:rPr>
              <w:br/>
              <w:t xml:space="preserve">(за каждый год)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]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709" w:type="dxa"/>
            <w:vMerge w:val="continue"/>
            <w:textDirection w:val="lrTb"/>
            <w:noWrap w:val="false"/>
          </w:tcPr>
          <w:p>
            <w:pPr>
              <w:pStyle w:val="1344"/>
              <w:numPr>
                <w:ilvl w:val="2"/>
                <w:numId w:val="20"/>
              </w:numPr>
              <w:ind w:left="-22" w:firstLine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4819" w:type="dxa"/>
            <w:vMerge w:val="continue"/>
            <w:textDirection w:val="lrTb"/>
            <w:noWrap w:val="false"/>
          </w:tcPr>
          <w:p>
            <w:pPr>
              <w:pStyle w:val="1344"/>
              <w:spacing w:befor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pStyle w:val="1344"/>
              <w:ind w:left="0"/>
              <w:jc w:val="center"/>
              <w:spacing w:befor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120 в год - микропредприятие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276" w:type="dxa"/>
            <w:vMerge w:val="continue"/>
            <w:textDirection w:val="lrTb"/>
            <w:noWrap w:val="false"/>
          </w:tcPr>
          <w:p>
            <w:pPr>
              <w:pStyle w:val="1344"/>
              <w:ind w:left="0"/>
              <w:jc w:val="center"/>
              <w:spacing w:befor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left w:val="single" w:color="auto" w:sz="4" w:space="0"/>
              <w:bottom w:val="single" w:color="auto" w:sz="4" w:space="0"/>
            </w:tcBorders>
            <w:tcW w:w="1844" w:type="dxa"/>
            <w:vMerge w:val="continue"/>
            <w:textDirection w:val="lrTb"/>
            <w:noWrap w:val="false"/>
          </w:tcPr>
          <w:p>
            <w:pPr>
              <w:pStyle w:val="1344"/>
              <w:ind w:left="-108" w:right="-109"/>
              <w:jc w:val="center"/>
              <w:spacing w:befor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textDirection w:val="lrTb"/>
            <w:noWrap w:val="false"/>
          </w:tcPr>
          <w:p>
            <w:pPr>
              <w:pStyle w:val="1344"/>
              <w:numPr>
                <w:ilvl w:val="0"/>
                <w:numId w:val="20"/>
              </w:numPr>
              <w:ind w:left="-22" w:firstLine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819" w:type="dxa"/>
            <w:textDirection w:val="lrTb"/>
            <w:noWrap w:val="false"/>
          </w:tcPr>
          <w:p>
            <w:pPr>
              <w:pStyle w:val="1344"/>
              <w:ind w:left="33"/>
              <w:spacing w:befor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4396" w:type="dxa"/>
            <w:textDirection w:val="lrTb"/>
            <w:noWrap w:val="false"/>
          </w:tcPr>
          <w:p>
            <w:pPr>
              <w:pStyle w:val="1344"/>
              <w:ind w:left="-108" w:right="-10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[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shd w:val="clear" w:color="auto" w:fill="d9d9d9" w:themeFill="background1" w:themeFillShade="D9"/>
              </w:rPr>
              <w:t xml:space="preserve">указываются сведения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]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textDirection w:val="lrTb"/>
            <w:noWrap w:val="false"/>
          </w:tcPr>
          <w:p>
            <w:pPr>
              <w:pStyle w:val="1344"/>
              <w:numPr>
                <w:ilvl w:val="0"/>
                <w:numId w:val="20"/>
              </w:numPr>
              <w:ind w:left="-22" w:firstLine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819" w:type="dxa"/>
            <w:textDirection w:val="lrTb"/>
            <w:noWrap w:val="false"/>
          </w:tcPr>
          <w:p>
            <w:pPr>
              <w:pStyle w:val="1344"/>
              <w:ind w:left="33"/>
              <w:spacing w:befor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Сведения о видах деятельности юридического лица согласно учред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ОКВЭД2 и ОКПД2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4396" w:type="dxa"/>
            <w:textDirection w:val="lrTb"/>
            <w:noWrap w:val="false"/>
          </w:tcPr>
          <w:p>
            <w:pPr>
              <w:pStyle w:val="1344"/>
              <w:ind w:left="-108" w:right="-10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[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shd w:val="clear" w:color="auto" w:fill="d9d9d9" w:themeFill="background1" w:themeFillShade="D9"/>
              </w:rPr>
              <w:t xml:space="preserve">указываются сведения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]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textDirection w:val="lrTb"/>
            <w:noWrap w:val="false"/>
          </w:tcPr>
          <w:p>
            <w:pPr>
              <w:pStyle w:val="1344"/>
              <w:numPr>
                <w:ilvl w:val="0"/>
                <w:numId w:val="20"/>
              </w:numPr>
              <w:ind w:left="-22" w:firstLine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819" w:type="dxa"/>
            <w:textDirection w:val="lrTb"/>
            <w:noWrap w:val="false"/>
          </w:tcPr>
          <w:p>
            <w:pPr>
              <w:pStyle w:val="1344"/>
              <w:ind w:left="33"/>
              <w:spacing w:befor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Сведения о производимых субъектами малого и среднего предпринимательства товарах, работах, услугах с указанием кодов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1344"/>
              <w:ind w:left="33"/>
              <w:spacing w:befor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ОКВЭД2 и ОКПД2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4396" w:type="dxa"/>
            <w:textDirection w:val="lrTb"/>
            <w:noWrap w:val="false"/>
          </w:tcPr>
          <w:p>
            <w:pPr>
              <w:pStyle w:val="1344"/>
              <w:ind w:left="-108" w:right="-10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[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shd w:val="clear" w:color="auto" w:fill="d9d9d9" w:themeFill="background1" w:themeFillShade="D9"/>
              </w:rPr>
              <w:t xml:space="preserve">указываются сведения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]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textDirection w:val="lrTb"/>
            <w:noWrap w:val="false"/>
          </w:tcPr>
          <w:p>
            <w:pPr>
              <w:pStyle w:val="1344"/>
              <w:numPr>
                <w:ilvl w:val="0"/>
                <w:numId w:val="20"/>
              </w:numPr>
              <w:ind w:left="-22" w:firstLine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819" w:type="dxa"/>
            <w:textDirection w:val="lrTb"/>
            <w:noWrap w:val="false"/>
          </w:tcPr>
          <w:p>
            <w:pPr>
              <w:pStyle w:val="1344"/>
              <w:ind w:left="0"/>
              <w:spacing w:befor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2" w:type="dxa"/>
            <w:textDirection w:val="lrTb"/>
            <w:noWrap w:val="false"/>
          </w:tcPr>
          <w:p>
            <w:pPr>
              <w:pStyle w:val="1344"/>
              <w:ind w:left="0"/>
              <w:jc w:val="center"/>
              <w:spacing w:befor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да (нет)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844" w:type="dxa"/>
            <w:textDirection w:val="lrTb"/>
            <w:noWrap w:val="false"/>
          </w:tcPr>
          <w:p>
            <w:pPr>
              <w:pStyle w:val="1344"/>
              <w:ind w:left="-108" w:right="-109"/>
              <w:jc w:val="center"/>
              <w:spacing w:befor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[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shd w:val="clear" w:color="auto" w:fill="d9d9d9" w:themeFill="background1" w:themeFillShade="D9"/>
              </w:rPr>
              <w:t xml:space="preserve">указываются сведения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]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textDirection w:val="lrTb"/>
            <w:noWrap w:val="false"/>
          </w:tcPr>
          <w:p>
            <w:pPr>
              <w:pStyle w:val="1344"/>
              <w:numPr>
                <w:ilvl w:val="0"/>
                <w:numId w:val="20"/>
              </w:numPr>
              <w:ind w:left="-22" w:firstLine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819" w:type="dxa"/>
            <w:textDirection w:val="lrTb"/>
            <w:noWrap w:val="false"/>
          </w:tcPr>
          <w:p>
            <w:pPr>
              <w:pStyle w:val="1344"/>
              <w:ind w:left="33"/>
              <w:spacing w:befor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552" w:type="dxa"/>
            <w:textDirection w:val="lrTb"/>
            <w:noWrap w:val="false"/>
          </w:tcPr>
          <w:p>
            <w:pPr>
              <w:pStyle w:val="1344"/>
              <w:ind w:left="-108" w:right="-10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да (нет)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844" w:type="dxa"/>
            <w:textDirection w:val="lrTb"/>
            <w:noWrap w:val="false"/>
          </w:tcPr>
          <w:p>
            <w:pPr>
              <w:pStyle w:val="1344"/>
              <w:ind w:left="-108" w:right="-10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[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shd w:val="clear" w:color="auto" w:fill="d9d9d9" w:themeFill="background1" w:themeFillShade="D9"/>
              </w:rPr>
              <w:t xml:space="preserve">в случае участия – наименование заказчика, реализующего программу партнерства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]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textDirection w:val="lrTb"/>
            <w:noWrap w:val="false"/>
          </w:tcPr>
          <w:p>
            <w:pPr>
              <w:pStyle w:val="1344"/>
              <w:numPr>
                <w:ilvl w:val="0"/>
                <w:numId w:val="20"/>
              </w:numPr>
              <w:ind w:left="-22" w:firstLine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819" w:type="dxa"/>
            <w:textDirection w:val="lrTb"/>
            <w:noWrap w:val="false"/>
          </w:tcPr>
          <w:p>
            <w:pPr>
              <w:pStyle w:val="1344"/>
              <w:ind w:left="33"/>
              <w:spacing w:befor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зако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ном «О контрактной системе в сфере закупок товаров, работ, услуг для обеспечения государственных и муниципальных нужд», и (или) договоров, заключенных в соответствии с Федеральным законом «О закупках товаров, работ, услуг отдельными видами юридических лиц»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552" w:type="dxa"/>
            <w:textDirection w:val="lrTb"/>
            <w:noWrap w:val="false"/>
          </w:tcPr>
          <w:p>
            <w:pPr>
              <w:pStyle w:val="1344"/>
              <w:ind w:left="-108" w:right="-10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да (нет)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1344"/>
              <w:ind w:left="-108" w:right="-10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844" w:type="dxa"/>
            <w:textDirection w:val="lrTb"/>
            <w:noWrap w:val="false"/>
          </w:tcPr>
          <w:p>
            <w:pPr>
              <w:pStyle w:val="1344"/>
              <w:ind w:left="-108" w:right="-10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[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shd w:val="clear" w:color="auto" w:fill="d9d9d9" w:themeFill="background1" w:themeFillShade="D9"/>
              </w:rPr>
              <w:t xml:space="preserve">при наличии - количество исполненных контрактов или договоров и общая сумма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]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textDirection w:val="lrTb"/>
            <w:noWrap w:val="false"/>
          </w:tcPr>
          <w:p>
            <w:pPr>
              <w:pStyle w:val="1344"/>
              <w:numPr>
                <w:ilvl w:val="0"/>
                <w:numId w:val="20"/>
              </w:numPr>
              <w:ind w:left="-22" w:firstLine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819" w:type="dxa"/>
            <w:textDirection w:val="lrTb"/>
            <w:noWrap w:val="false"/>
          </w:tcPr>
          <w:p>
            <w:pPr>
              <w:pStyle w:val="1344"/>
              <w:ind w:left="33"/>
              <w:spacing w:befor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 экономики, а также о том, что в отношении указанных физич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 дисквалификации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552" w:type="dxa"/>
            <w:textDirection w:val="lrTb"/>
            <w:noWrap w:val="false"/>
          </w:tcPr>
          <w:p>
            <w:pPr>
              <w:pStyle w:val="1344"/>
              <w:ind w:left="-108" w:right="-10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да (нет)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844" w:type="dxa"/>
            <w:textDirection w:val="lrTb"/>
            <w:noWrap w:val="false"/>
          </w:tcPr>
          <w:p>
            <w:pPr>
              <w:pStyle w:val="1344"/>
              <w:ind w:left="-108" w:right="-10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[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shd w:val="clear" w:color="auto" w:fill="d9d9d9" w:themeFill="background1" w:themeFillShade="D9"/>
              </w:rPr>
              <w:t xml:space="preserve">указываются сведения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]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textDirection w:val="lrTb"/>
            <w:noWrap w:val="false"/>
          </w:tcPr>
          <w:p>
            <w:pPr>
              <w:pStyle w:val="1344"/>
              <w:numPr>
                <w:ilvl w:val="0"/>
                <w:numId w:val="20"/>
              </w:numPr>
              <w:ind w:left="-22" w:firstLine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819" w:type="dxa"/>
            <w:textDirection w:val="lrTb"/>
            <w:noWrap w:val="false"/>
          </w:tcPr>
          <w:p>
            <w:pPr>
              <w:pStyle w:val="1344"/>
              <w:ind w:left="33"/>
              <w:spacing w:befor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Информация о наличии сведений о субъекте малого и среднего предпринимательства в реестрах недобросовестны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х поставщиков, предусмотренных Федеральным законом «О закупках товаров, работ, услуг отдельными видами юридических лиц» и Федеральным законом «О контрактной системе в сфере закупок товаров, работ, услуг для обеспечения государственных и муниципальных нужд»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552" w:type="dxa"/>
            <w:textDirection w:val="lrTb"/>
            <w:noWrap w:val="false"/>
          </w:tcPr>
          <w:p>
            <w:pPr>
              <w:pStyle w:val="1344"/>
              <w:ind w:left="-108" w:right="-10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да (нет)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844" w:type="dxa"/>
            <w:textDirection w:val="lrTb"/>
            <w:noWrap w:val="false"/>
          </w:tcPr>
          <w:p>
            <w:pPr>
              <w:pStyle w:val="1344"/>
              <w:ind w:left="-108" w:right="-10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[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shd w:val="clear" w:color="auto" w:fill="d9d9d9" w:themeFill="background1" w:themeFillShade="D9"/>
              </w:rPr>
              <w:t xml:space="preserve">указываются сведения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]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</w:tbl>
    <w:p>
      <w:r/>
      <w:r/>
    </w:p>
    <w:p>
      <w:pPr>
        <w:pStyle w:val="13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ind w:right="424"/>
        <w:spacing w:after="0"/>
        <w:tabs>
          <w:tab w:val="left" w:pos="4820" w:leader="none"/>
        </w:tabs>
      </w:pPr>
      <w:r>
        <w:t xml:space="preserve">____________________________ </w:t>
      </w:r>
      <w:r>
        <w:tab/>
        <w:t xml:space="preserve">[</w:t>
      </w:r>
      <w:r>
        <w:rPr>
          <w:shd w:val="clear" w:color="auto" w:fill="d9d9d9" w:themeFill="background1" w:themeFillShade="D9"/>
        </w:rPr>
        <w:t xml:space="preserve">указать</w:t>
      </w:r>
      <w:r>
        <w:t xml:space="preserve">] ____________________________</w:t>
      </w:r>
      <w:r/>
    </w:p>
    <w:p>
      <w:pPr>
        <w:pStyle w:val="1340"/>
        <w:ind w:right="567"/>
        <w:tabs>
          <w:tab w:val="left" w:pos="4962" w:leader="none"/>
        </w:tabs>
        <w:rPr>
          <w:rFonts w:ascii="Times New Roman" w:hAnsi="Times New Roman"/>
          <w:sz w:val="24"/>
          <w:szCs w:val="24"/>
        </w:rPr>
        <w:sectPr>
          <w:footnotePr/>
          <w:endnotePr/>
          <w:type w:val="nextPage"/>
          <w:pgSz w:w="11906" w:h="16838" w:orient="portrait"/>
          <w:pgMar w:top="1134" w:right="707" w:bottom="851" w:left="1418" w:header="709" w:footer="709" w:gutter="0"/>
          <w:cols w:num="1" w:sep="0" w:space="708" w:equalWidth="1"/>
          <w:docGrid w:linePitch="360"/>
          <w:titlePg/>
        </w:sectPr>
      </w:pPr>
      <w:r>
        <w:rPr>
          <w:rFonts w:ascii="Times New Roman" w:hAnsi="Times New Roman"/>
          <w:sz w:val="24"/>
          <w:szCs w:val="24"/>
          <w:vertAlign w:val="superscript"/>
        </w:rPr>
        <w:t xml:space="preserve">(подпись, М.П.)  </w:t>
      </w:r>
      <w:r>
        <w:rPr>
          <w:rFonts w:ascii="Times New Roman" w:hAnsi="Times New Roman"/>
          <w:sz w:val="24"/>
          <w:szCs w:val="24"/>
          <w:vertAlign w:val="superscript"/>
        </w:rPr>
        <w:tab/>
        <w:t xml:space="preserve">(фамилия, имя, отчество подписавшего, должность)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149"/>
        <w:ind w:left="0" w:firstLine="0"/>
        <w:pageBreakBefore/>
        <w:spacing w:after="0"/>
        <w:tabs>
          <w:tab w:val="clear" w:pos="576" w:leader="none"/>
        </w:tabs>
        <w:rPr>
          <w:sz w:val="24"/>
          <w:szCs w:val="24"/>
        </w:rPr>
      </w:pPr>
      <w:r/>
      <w:bookmarkStart w:id="366" w:name="_Toc51"/>
      <w:r>
        <w:rPr>
          <w:sz w:val="24"/>
          <w:szCs w:val="24"/>
        </w:rPr>
      </w:r>
      <w:bookmarkStart w:id="263" w:name="_ФОРМА_9._Справка"/>
      <w:r>
        <w:rPr>
          <w:sz w:val="24"/>
          <w:szCs w:val="24"/>
        </w:rPr>
      </w:r>
      <w:bookmarkEnd w:id="263"/>
      <w:r>
        <w:rPr>
          <w:sz w:val="24"/>
          <w:szCs w:val="24"/>
        </w:rPr>
        <w:t xml:space="preserve">ФОРМА  </w:t>
      </w:r>
      <w:r>
        <w:rPr>
          <w:sz w:val="24"/>
          <w:szCs w:val="24"/>
        </w:rPr>
        <w:t xml:space="preserve">Справка о наличии конфликта интересов и/или связей, носящих характер аффилированности с сотрудниками Заказчика или Организатора закупки</w:t>
      </w:r>
      <w:r>
        <w:rPr>
          <w:sz w:val="24"/>
          <w:szCs w:val="24"/>
        </w:rPr>
      </w:r>
      <w:bookmarkEnd w:id="366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center"/>
        <w:spacing w:after="0"/>
        <w:rPr>
          <w:sz w:val="24"/>
          <w:szCs w:val="24"/>
        </w:rPr>
      </w:pPr>
      <w:r>
        <w:rPr>
          <w:b/>
          <w:sz w:val="24"/>
          <w:szCs w:val="24"/>
        </w:rPr>
        <w:t xml:space="preserve">Справка о наличии конфликта интересов и/или связей, носящих характер аффилированности с сотрудниками Заказчика или Организатора </w:t>
      </w:r>
      <w:r>
        <w:rPr>
          <w:b/>
          <w:sz w:val="24"/>
          <w:szCs w:val="24"/>
        </w:rPr>
        <w:t xml:space="preserve">закупки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spacing w:after="0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left"/>
        <w:spacing w:after="0"/>
      </w:pPr>
      <w:r>
        <w:t xml:space="preserve">Наименование </w:t>
      </w:r>
      <w:r>
        <w:t xml:space="preserve">закупки</w:t>
      </w:r>
      <w:r>
        <w:t xml:space="preserve"> _______________________________________ Лот № ___</w:t>
      </w:r>
      <w:r>
        <w:t xml:space="preserve">______</w:t>
      </w:r>
      <w:r/>
    </w:p>
    <w:p>
      <w:pPr>
        <w:spacing w:after="0"/>
      </w:pPr>
      <w:r>
        <w:t xml:space="preserve">Номер извещения о проведении закупки в ЕИС: _________________________________</w:t>
      </w:r>
      <w:r/>
    </w:p>
    <w:p>
      <w:pPr>
        <w:spacing w:after="0"/>
      </w:pPr>
      <w:r>
        <w:t xml:space="preserve">Наименование участника закупки:</w:t>
      </w:r>
      <w:r>
        <w:t xml:space="preserve"> </w:t>
      </w:r>
      <w:r>
        <w:t xml:space="preserve">_______________________________________</w:t>
      </w:r>
      <w:r>
        <w:t xml:space="preserve">______</w:t>
      </w:r>
      <w:r/>
    </w:p>
    <w:p>
      <w:r>
        <w:t xml:space="preserve">Юридический адрес (место нахождения) участника закупки:</w:t>
      </w:r>
      <w:r>
        <w:t xml:space="preserve"> </w:t>
      </w:r>
      <w:r>
        <w:t xml:space="preserve">_______________________</w:t>
      </w:r>
      <w:r/>
    </w:p>
    <w:p>
      <w:pPr>
        <w:jc w:val="center"/>
      </w:pPr>
      <w:r>
        <w:t xml:space="preserve">Уважаемые господа!</w:t>
      </w:r>
      <w:r/>
    </w:p>
    <w:p>
      <w:pPr>
        <w:rPr>
          <w:b/>
        </w:rPr>
      </w:pPr>
      <w:r>
        <w:t xml:space="preserve">При рассмотрении нашей заявки просим учесть следующие сведения о наличии у </w:t>
      </w:r>
      <w:r>
        <w:rPr>
          <w:b/>
          <w:i/>
        </w:rPr>
        <w:t xml:space="preserve">{указывается наименование Участника </w:t>
      </w:r>
      <w:r>
        <w:rPr>
          <w:b/>
          <w:i/>
        </w:rPr>
        <w:t xml:space="preserve">закупки</w:t>
      </w:r>
      <w:r>
        <w:rPr>
          <w:b/>
          <w:i/>
        </w:rPr>
        <w:t xml:space="preserve">}</w:t>
      </w:r>
      <w:r>
        <w:rPr>
          <w:i/>
        </w:rPr>
        <w:t xml:space="preserve"> </w:t>
      </w:r>
      <w:r>
        <w:t xml:space="preserve">конфликта интересов и/или связей, носящих характер аффилированности с лицами, являющимися </w:t>
      </w:r>
      <w:r>
        <w:rPr>
          <w:b/>
          <w:i/>
        </w:rPr>
        <w:t xml:space="preserve">{указывается кем являются эти лица, пример: учредители, сотрудники, и т.д.}</w:t>
      </w:r>
      <w:r>
        <w:rPr>
          <w:i/>
        </w:rPr>
        <w:t xml:space="preserve"> </w:t>
      </w:r>
      <w:r>
        <w:t xml:space="preserve">Заказчика </w:t>
      </w:r>
      <w:r>
        <w:rPr>
          <w:b/>
          <w:i/>
        </w:rPr>
        <w:t xml:space="preserve">{и/или Организатора </w:t>
      </w:r>
      <w:r>
        <w:rPr>
          <w:b/>
          <w:i/>
        </w:rPr>
        <w:t xml:space="preserve">закупки</w:t>
      </w:r>
      <w:r>
        <w:rPr>
          <w:b/>
          <w:i/>
        </w:rPr>
        <w:t xml:space="preserve">, или иной организацией, подготовившей проектную документацию, спецификацию и другие документы непосредственно связанные с проведением данно</w:t>
      </w:r>
      <w:r>
        <w:rPr>
          <w:b/>
          <w:i/>
        </w:rPr>
        <w:t xml:space="preserve">й процедуры</w:t>
      </w:r>
      <w:r>
        <w:rPr>
          <w:b/>
          <w:i/>
        </w:rPr>
        <w:t xml:space="preserve">}</w:t>
      </w:r>
      <w:r>
        <w:rPr>
          <w:i/>
        </w:rPr>
        <w:t xml:space="preserve"> </w:t>
      </w:r>
      <w:r>
        <w:t xml:space="preserve">а именно:</w:t>
      </w:r>
      <w:r>
        <w:rPr>
          <w:b/>
        </w:rPr>
      </w:r>
      <w:r>
        <w:rPr>
          <w:b/>
        </w:rPr>
      </w:r>
    </w:p>
    <w:p>
      <w:pPr>
        <w:numPr>
          <w:ilvl w:val="0"/>
          <w:numId w:val="21"/>
        </w:numPr>
        <w:spacing w:after="0"/>
        <w:rPr>
          <w:b/>
          <w:i/>
        </w:rPr>
      </w:pPr>
      <w:r>
        <w:rPr>
          <w:b/>
          <w:i/>
        </w:rPr>
        <w:t xml:space="preserve">{указывается Ф.И.О. лица, его место работы, должность; кратко описывается почему по мнению связи между данным лицом и Участником </w:t>
      </w:r>
      <w:r>
        <w:rPr>
          <w:b/>
          <w:i/>
        </w:rPr>
        <w:t xml:space="preserve">закупки</w:t>
      </w:r>
      <w:r>
        <w:rPr>
          <w:b/>
          <w:i/>
        </w:rPr>
        <w:t xml:space="preserve"> могут быть расценены как аффилированность };</w:t>
      </w:r>
      <w:r>
        <w:rPr>
          <w:b/>
          <w:i/>
        </w:rPr>
      </w:r>
      <w:r>
        <w:rPr>
          <w:b/>
          <w:i/>
        </w:rPr>
      </w:r>
    </w:p>
    <w:p>
      <w:pPr>
        <w:numPr>
          <w:ilvl w:val="0"/>
          <w:numId w:val="21"/>
        </w:numPr>
        <w:spacing w:after="0"/>
        <w:rPr>
          <w:b/>
          <w:i/>
        </w:rPr>
      </w:pPr>
      <w:r>
        <w:rPr>
          <w:b/>
          <w:i/>
        </w:rPr>
        <w:t xml:space="preserve">{указывается Ф.И.О. лица, его должность, кратко описывается почему связи между данным лицом и Участником </w:t>
      </w:r>
      <w:r>
        <w:rPr>
          <w:b/>
          <w:i/>
        </w:rPr>
        <w:t xml:space="preserve">закупки</w:t>
      </w:r>
      <w:r>
        <w:rPr>
          <w:b/>
          <w:i/>
        </w:rPr>
        <w:t xml:space="preserve"> могут быть расценены как аффилированность};</w:t>
      </w:r>
      <w:r>
        <w:rPr>
          <w:b/>
          <w:i/>
        </w:rPr>
      </w:r>
      <w:r>
        <w:rPr>
          <w:b/>
          <w:i/>
        </w:rPr>
      </w:r>
    </w:p>
    <w:p>
      <w:pPr>
        <w:ind w:left="1497"/>
        <w:spacing w:after="0"/>
        <w:rPr>
          <w:b/>
          <w:i/>
        </w:rPr>
      </w:pPr>
      <w:r>
        <w:rPr>
          <w:b/>
          <w:i/>
        </w:rPr>
      </w:r>
      <w:r>
        <w:rPr>
          <w:b/>
          <w:i/>
        </w:rPr>
      </w:r>
      <w:r>
        <w:rPr>
          <w:b/>
          <w:i/>
        </w:rPr>
      </w:r>
    </w:p>
    <w:p>
      <w:pPr>
        <w:ind w:right="424"/>
        <w:spacing w:after="0"/>
        <w:tabs>
          <w:tab w:val="left" w:pos="4820" w:leader="none"/>
        </w:tabs>
      </w:pPr>
      <w:r>
        <w:t xml:space="preserve">____________________________ </w:t>
      </w:r>
      <w:r>
        <w:tab/>
        <w:t xml:space="preserve">[</w:t>
      </w:r>
      <w:r>
        <w:rPr>
          <w:shd w:val="clear" w:color="auto" w:fill="d9d9d9" w:themeFill="background1" w:themeFillShade="D9"/>
        </w:rPr>
        <w:t xml:space="preserve">указать</w:t>
      </w:r>
      <w:r>
        <w:t xml:space="preserve">] ____________________________</w:t>
      </w:r>
      <w:r/>
    </w:p>
    <w:p>
      <w:pPr>
        <w:pStyle w:val="1340"/>
        <w:ind w:right="567"/>
        <w:tabs>
          <w:tab w:val="left" w:pos="5245" w:leader="none"/>
        </w:tabs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  <w:vertAlign w:val="superscript"/>
        </w:rPr>
        <w:t xml:space="preserve">(подпись, М.П.)  </w:t>
      </w:r>
      <w:r>
        <w:rPr>
          <w:rFonts w:ascii="Times New Roman" w:hAnsi="Times New Roman"/>
          <w:sz w:val="24"/>
          <w:szCs w:val="24"/>
          <w:vertAlign w:val="superscript"/>
        </w:rPr>
        <w:tab/>
        <w:t xml:space="preserve">(фамилия, имя, отчество подписавшего, должность)</w:t>
      </w:r>
      <w:r>
        <w:rPr>
          <w:rFonts w:ascii="Times New Roman" w:hAnsi="Times New Roman"/>
          <w:sz w:val="24"/>
          <w:szCs w:val="24"/>
          <w:vertAlign w:val="superscript"/>
        </w:rPr>
      </w:r>
      <w:r>
        <w:rPr>
          <w:rFonts w:ascii="Times New Roman" w:hAnsi="Times New Roman"/>
          <w:sz w:val="24"/>
          <w:szCs w:val="24"/>
          <w:vertAlign w:val="superscript"/>
        </w:rPr>
      </w:r>
    </w:p>
    <w:p>
      <w:pPr>
        <w:spacing w:after="0"/>
        <w:rPr>
          <w:b/>
        </w:rPr>
      </w:pPr>
      <w:r>
        <w:rPr>
          <w:b/>
        </w:rPr>
        <w:t xml:space="preserve">Инструкции по заполнению:</w:t>
      </w:r>
      <w:r>
        <w:rPr>
          <w:b/>
        </w:rPr>
      </w:r>
      <w:r>
        <w:rPr>
          <w:b/>
        </w:rPr>
      </w:r>
    </w:p>
    <w:p>
      <w:pPr>
        <w:pStyle w:val="1311"/>
        <w:numPr>
          <w:ilvl w:val="0"/>
          <w:numId w:val="14"/>
        </w:numPr>
        <w:ind w:left="426"/>
        <w:jc w:val="both"/>
      </w:pPr>
      <w:r>
        <w:t xml:space="preserve">данные инструкции не следует воспроизводить в документах, подготовленных Участником закупки;</w:t>
      </w:r>
      <w:r/>
    </w:p>
    <w:p>
      <w:pPr>
        <w:pStyle w:val="1311"/>
        <w:numPr>
          <w:ilvl w:val="0"/>
          <w:numId w:val="14"/>
        </w:numPr>
        <w:ind w:left="426"/>
        <w:jc w:val="both"/>
      </w:pPr>
      <w:r>
        <w:t xml:space="preserve">участник закупки приводит наименование процедуры закупки, номер лота (в случае проведения многолотовой закупки), номер извещения о проведении закупки в ЕИС;</w:t>
      </w:r>
      <w:r/>
    </w:p>
    <w:p>
      <w:pPr>
        <w:pStyle w:val="1311"/>
        <w:numPr>
          <w:ilvl w:val="0"/>
          <w:numId w:val="14"/>
        </w:numPr>
        <w:ind w:left="426"/>
        <w:jc w:val="both"/>
      </w:pPr>
      <w:r>
        <w:t xml:space="preserve">участник закупки приводит</w:t>
      </w:r>
      <w:r>
        <w:t xml:space="preserve"> </w:t>
      </w:r>
      <w:r>
        <w:t xml:space="preserve">наименования юридического лица и адреса места нахождения, либо фамилию, имя, отчество, паспортные данные, адрес прописки (адрес регистрации) физического лица, в том числе индивидуального предпринимателя;</w:t>
      </w:r>
      <w:r/>
    </w:p>
    <w:p>
      <w:pPr>
        <w:pStyle w:val="1311"/>
        <w:numPr>
          <w:ilvl w:val="0"/>
          <w:numId w:val="14"/>
        </w:numPr>
        <w:ind w:left="426"/>
        <w:jc w:val="both"/>
      </w:pPr>
      <w:r>
        <w:t xml:space="preserve">форма составляется на фирменном бланке Участника закупки</w:t>
      </w:r>
      <w:r>
        <w:t xml:space="preserve">;</w:t>
      </w:r>
      <w:r/>
    </w:p>
    <w:p>
      <w:pPr>
        <w:pStyle w:val="1311"/>
        <w:numPr>
          <w:ilvl w:val="0"/>
          <w:numId w:val="14"/>
        </w:numPr>
        <w:ind w:left="426"/>
        <w:jc w:val="both"/>
        <w:widowControl w:val="off"/>
      </w:pPr>
      <w:r>
        <w:t xml:space="preserve">Участник </w:t>
      </w:r>
      <w:r>
        <w:t xml:space="preserve">закупки</w:t>
      </w:r>
      <w:r>
        <w:t xml:space="preserve"> должен заполнить приведенное выше информационное письмо, указав всех лиц которые, по его мнению, могут быть признаны аффилированными с ним. В случае если, по мнению Участника </w:t>
      </w:r>
      <w:r>
        <w:t xml:space="preserve">закупки</w:t>
      </w:r>
      <w:r>
        <w:t xml:space="preserve"> таких лиц нет, то в письме пишется фраза «При рассмотрении нашей заявки просим учесть, что у {указывается наименование Участника </w:t>
      </w:r>
      <w:r>
        <w:t xml:space="preserve">закупки</w:t>
      </w:r>
      <w:r>
        <w:t xml:space="preserve">} НЕТ связей, которые могут быть признаны носящими характер аффилированности с лицами так или иначе связанными с Заказчиком, Организатором </w:t>
      </w:r>
      <w:r>
        <w:t xml:space="preserve">закупки</w:t>
      </w:r>
      <w:r>
        <w:t xml:space="preserve">, или иной организацией, подготовившей проектную документацию, спецификацию и другие документы непосредственно связанные с проведением данно</w:t>
      </w:r>
      <w:r>
        <w:t xml:space="preserve">й</w:t>
      </w:r>
      <w:r>
        <w:t xml:space="preserve"> </w:t>
      </w:r>
      <w:r>
        <w:t xml:space="preserve">закупки</w:t>
      </w:r>
      <w:r>
        <w:t xml:space="preserve">.</w:t>
      </w:r>
      <w:r/>
    </w:p>
    <w:p>
      <w:pPr>
        <w:pStyle w:val="1311"/>
        <w:numPr>
          <w:ilvl w:val="0"/>
          <w:numId w:val="14"/>
        </w:numPr>
        <w:ind w:left="426"/>
        <w:jc w:val="both"/>
        <w:widowControl w:val="off"/>
      </w:pPr>
      <w:r>
        <w:t xml:space="preserve">При на</w:t>
      </w:r>
      <w:r>
        <w:t xml:space="preserve">личии документов, подтверждающих или указывающих на факты возможного возникновения конфликта интересов и/или аффилированных связей, Участник прилагает соответствующие документы к настоящей Справке и включает перечень прилагаемых документов в текст Справки.</w:t>
      </w:r>
      <w:r/>
    </w:p>
    <w:p>
      <w:pPr>
        <w:pStyle w:val="1311"/>
        <w:numPr>
          <w:ilvl w:val="0"/>
          <w:numId w:val="14"/>
        </w:numPr>
        <w:ind w:left="426"/>
        <w:jc w:val="both"/>
        <w:widowControl w:val="off"/>
      </w:pPr>
      <w:r>
        <w:rPr>
          <w:b/>
        </w:rPr>
        <w:t xml:space="preserve">Участнику следует приложить файл Справка о наличии/отсутствии конфликта интересов </w:t>
      </w:r>
      <w:r>
        <w:rPr>
          <w:b/>
        </w:rPr>
        <w:t xml:space="preserve">выполненный в</w:t>
      </w:r>
      <w:r>
        <w:rPr>
          <w:b/>
        </w:rPr>
        <w:t xml:space="preserve"> </w:t>
      </w:r>
      <w:r>
        <w:rPr>
          <w:b/>
        </w:rPr>
        <w:t xml:space="preserve">редактируемом</w:t>
      </w:r>
      <w:r>
        <w:rPr>
          <w:b/>
        </w:rPr>
        <w:t xml:space="preserve"> формате</w:t>
      </w:r>
      <w:r/>
    </w:p>
    <w:p>
      <w:pPr>
        <w:pStyle w:val="1149"/>
        <w:ind w:left="0" w:firstLine="0"/>
        <w:pageBreakBefore/>
        <w:spacing w:after="0"/>
        <w:tabs>
          <w:tab w:val="clear" w:pos="576" w:leader="none"/>
        </w:tabs>
        <w:rPr>
          <w:sz w:val="24"/>
          <w:szCs w:val="24"/>
        </w:rPr>
        <w:sectPr>
          <w:footnotePr/>
          <w:endnotePr/>
          <w:type w:val="nextPage"/>
          <w:pgSz w:w="11906" w:h="16838" w:orient="portrait"/>
          <w:pgMar w:top="902" w:right="567" w:bottom="1077" w:left="1134" w:header="709" w:footer="709" w:gutter="0"/>
          <w:cols w:num="1" w:sep="0" w:space="708" w:equalWidth="1"/>
          <w:docGrid w:linePitch="360"/>
          <w:titlePg/>
        </w:sect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49"/>
        <w:ind w:left="0" w:firstLine="0"/>
        <w:pageBreakBefore/>
        <w:spacing w:after="0"/>
        <w:tabs>
          <w:tab w:val="clear" w:pos="576" w:leader="none"/>
        </w:tabs>
        <w:rPr>
          <w:sz w:val="24"/>
          <w:szCs w:val="24"/>
        </w:rPr>
      </w:pPr>
      <w:r/>
      <w:bookmarkStart w:id="367" w:name="_Toc52"/>
      <w:r/>
      <w:bookmarkStart w:id="272" w:name="_ФОРМА_10._Справка"/>
      <w:r/>
      <w:bookmarkEnd w:id="272"/>
      <w:r>
        <w:rPr>
          <w:sz w:val="24"/>
          <w:szCs w:val="24"/>
        </w:rPr>
        <w:t xml:space="preserve">ФОРМА  </w:t>
      </w:r>
      <w:r>
        <w:rPr>
          <w:sz w:val="24"/>
          <w:szCs w:val="24"/>
          <w:lang w:eastAsia="en-US"/>
        </w:rPr>
        <w:t xml:space="preserve">Справка (информация) о собственниках Участника закупки (включая конечных бенефициаров)</w:t>
      </w:r>
      <w:r>
        <w:rPr>
          <w:sz w:val="24"/>
          <w:szCs w:val="24"/>
        </w:rPr>
      </w:r>
      <w:bookmarkEnd w:id="367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rPr>
          <w:b/>
          <w:lang w:eastAsia="en-US"/>
        </w:rPr>
      </w:pPr>
      <w:r>
        <w:rPr>
          <w:b/>
          <w:lang w:eastAsia="en-US"/>
        </w:rPr>
      </w:r>
      <w:r>
        <w:rPr>
          <w:b/>
          <w:lang w:eastAsia="en-US"/>
        </w:rPr>
      </w:r>
      <w:r>
        <w:rPr>
          <w:b/>
          <w:lang w:eastAsia="en-US"/>
        </w:rPr>
      </w:r>
    </w:p>
    <w:p>
      <w:pPr>
        <w:jc w:val="center"/>
        <w:rPr>
          <w:b/>
          <w:lang w:eastAsia="en-US"/>
        </w:rPr>
      </w:pPr>
      <w:r>
        <w:rPr>
          <w:b/>
          <w:lang w:eastAsia="en-US"/>
        </w:rPr>
        <w:t xml:space="preserve">Справка (информация) о собственниках Участника закупки (включая конечных бенефициаров)</w:t>
      </w:r>
      <w:r>
        <w:rPr>
          <w:b/>
          <w:lang w:eastAsia="en-US"/>
        </w:rPr>
      </w:r>
      <w:r>
        <w:rPr>
          <w:b/>
          <w:lang w:eastAsia="en-US"/>
        </w:rPr>
      </w:r>
    </w:p>
    <w:p>
      <w:pPr>
        <w:jc w:val="left"/>
        <w:spacing w:after="0"/>
      </w:pPr>
      <w:r/>
      <w:r/>
    </w:p>
    <w:p>
      <w:pPr>
        <w:jc w:val="left"/>
        <w:spacing w:after="0"/>
      </w:pPr>
      <w:r>
        <w:t xml:space="preserve">Наименование закупки _______________________________________ Лот № _________</w:t>
      </w:r>
      <w:r/>
    </w:p>
    <w:p>
      <w:pPr>
        <w:spacing w:after="0"/>
      </w:pPr>
      <w:r>
        <w:t xml:space="preserve">Номер извещения о проведении закупки в ЕИС: _________________________________</w:t>
      </w:r>
      <w:r/>
    </w:p>
    <w:p>
      <w:pPr>
        <w:spacing w:after="0"/>
      </w:pPr>
      <w:r>
        <w:t xml:space="preserve">Наименование участника закупки: _____________________________________________</w:t>
      </w:r>
      <w:r/>
    </w:p>
    <w:p>
      <w:pPr>
        <w:rPr>
          <w:lang w:eastAsia="en-US"/>
        </w:rPr>
      </w:pPr>
      <w:r>
        <w:t xml:space="preserve">Юридический адрес (место нахождения) участника закупки: _______________________</w:t>
      </w:r>
      <w:r>
        <w:rPr>
          <w:lang w:eastAsia="en-US"/>
        </w:rPr>
      </w:r>
      <w:r>
        <w:rPr>
          <w:lang w:eastAsia="en-US"/>
        </w:rPr>
      </w:r>
    </w:p>
    <w:p>
      <w:pPr>
        <w:rPr>
          <w:lang w:eastAsia="en-US"/>
        </w:rPr>
      </w:pPr>
      <w:r>
        <w:rPr>
          <w:lang w:eastAsia="en-US"/>
        </w:rPr>
      </w:r>
      <w:r>
        <w:rPr>
          <w:lang w:eastAsia="en-US"/>
        </w:rPr>
      </w:r>
      <w:r>
        <w:rPr>
          <w:lang w:eastAsia="en-US"/>
        </w:rPr>
      </w:r>
    </w:p>
    <w:tbl>
      <w:tblPr>
        <w:tblW w:w="15239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992"/>
        <w:gridCol w:w="851"/>
        <w:gridCol w:w="1275"/>
        <w:gridCol w:w="1560"/>
        <w:gridCol w:w="425"/>
        <w:gridCol w:w="567"/>
        <w:gridCol w:w="709"/>
        <w:gridCol w:w="1275"/>
        <w:gridCol w:w="1134"/>
        <w:gridCol w:w="1560"/>
        <w:gridCol w:w="1275"/>
        <w:gridCol w:w="709"/>
        <w:gridCol w:w="1494"/>
      </w:tblGrid>
      <w:tr>
        <w:tblPrEx/>
        <w:trPr>
          <w:trHeight w:val="315"/>
        </w:trPr>
        <w:tc>
          <w:tcPr>
            <w:gridSpan w:val="6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091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Наименование контрагента (ИНН, вид деятельности)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gridSpan w:val="9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148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Информация о цепочке собственников контрагента, включая бенефициаров (в том числе конечных)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126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ИНН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ОГРН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Наименование краткое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Код ОКВЭД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5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Ф.И.О. руководителя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6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Серия, номер документа, удостоверяющего личность руководителя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425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№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ИНН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ОГРН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5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Наименование/Ф.И.О.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Адрес регистрации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6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Серия, номер документа, удостоверяющего личность (для физ. лица) 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5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Руководитель/участник/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  <w:p>
            <w:pPr>
              <w:jc w:val="center"/>
              <w:spacing w:after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акционер/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  <w:p>
            <w:pPr>
              <w:jc w:val="center"/>
              <w:spacing w:after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бенефициар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Размер доли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94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Информация о подтверждающих документах (наименование, реквизиты и т.д.)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315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5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6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425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5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6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5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94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30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vAlign w:val="bottom"/>
            <w:textDirection w:val="lrTb"/>
            <w:noWrap/>
          </w:tcPr>
          <w:p>
            <w:pPr>
              <w:jc w:val="left"/>
              <w:spacing w:after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 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9" w:type="dxa"/>
            <w:vAlign w:val="bottom"/>
            <w:textDirection w:val="lrTb"/>
            <w:noWrap/>
          </w:tcPr>
          <w:p>
            <w:pPr>
              <w:jc w:val="left"/>
              <w:spacing w:after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 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bottom"/>
            <w:textDirection w:val="lrTb"/>
            <w:noWrap/>
          </w:tcPr>
          <w:p>
            <w:pPr>
              <w:jc w:val="left"/>
              <w:spacing w:after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 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1" w:type="dxa"/>
            <w:vAlign w:val="bottom"/>
            <w:textDirection w:val="lrTb"/>
            <w:noWrap/>
          </w:tcPr>
          <w:p>
            <w:pPr>
              <w:jc w:val="left"/>
              <w:spacing w:after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 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5" w:type="dxa"/>
            <w:vAlign w:val="bottom"/>
            <w:textDirection w:val="lrTb"/>
            <w:noWrap/>
          </w:tcPr>
          <w:p>
            <w:pPr>
              <w:jc w:val="left"/>
              <w:spacing w:after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 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60" w:type="dxa"/>
            <w:vAlign w:val="bottom"/>
            <w:textDirection w:val="lrTb"/>
            <w:noWrap/>
          </w:tcPr>
          <w:p>
            <w:pPr>
              <w:jc w:val="left"/>
              <w:spacing w:after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 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425" w:type="dxa"/>
            <w:vAlign w:val="bottom"/>
            <w:textDirection w:val="lrTb"/>
            <w:noWrap/>
          </w:tcPr>
          <w:p>
            <w:pPr>
              <w:jc w:val="left"/>
              <w:spacing w:after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 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left"/>
              <w:spacing w:after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 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9" w:type="dxa"/>
            <w:vAlign w:val="bottom"/>
            <w:textDirection w:val="lrTb"/>
            <w:noWrap/>
          </w:tcPr>
          <w:p>
            <w:pPr>
              <w:jc w:val="left"/>
              <w:spacing w:after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 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5" w:type="dxa"/>
            <w:vAlign w:val="bottom"/>
            <w:textDirection w:val="lrTb"/>
            <w:noWrap/>
          </w:tcPr>
          <w:p>
            <w:pPr>
              <w:jc w:val="left"/>
              <w:spacing w:after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 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bottom"/>
            <w:textDirection w:val="lrTb"/>
            <w:noWrap/>
          </w:tcPr>
          <w:p>
            <w:pPr>
              <w:jc w:val="left"/>
              <w:spacing w:after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 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60" w:type="dxa"/>
            <w:vAlign w:val="bottom"/>
            <w:textDirection w:val="lrTb"/>
            <w:noWrap/>
          </w:tcPr>
          <w:p>
            <w:pPr>
              <w:jc w:val="left"/>
              <w:spacing w:after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 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5" w:type="dxa"/>
            <w:vAlign w:val="bottom"/>
            <w:textDirection w:val="lrTb"/>
            <w:noWrap/>
          </w:tcPr>
          <w:p>
            <w:pPr>
              <w:jc w:val="left"/>
              <w:spacing w:after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 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9" w:type="dxa"/>
            <w:vAlign w:val="bottom"/>
            <w:textDirection w:val="lrTb"/>
            <w:noWrap/>
          </w:tcPr>
          <w:p>
            <w:pPr>
              <w:jc w:val="left"/>
              <w:spacing w:after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 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94" w:type="dxa"/>
            <w:vAlign w:val="bottom"/>
            <w:textDirection w:val="lrTb"/>
            <w:noWrap/>
          </w:tcPr>
          <w:p>
            <w:pPr>
              <w:jc w:val="left"/>
              <w:spacing w:after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 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30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vAlign w:val="bottom"/>
            <w:textDirection w:val="lrTb"/>
            <w:noWrap/>
          </w:tcPr>
          <w:p>
            <w:pPr>
              <w:jc w:val="left"/>
              <w:spacing w:after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 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9" w:type="dxa"/>
            <w:vAlign w:val="bottom"/>
            <w:textDirection w:val="lrTb"/>
            <w:noWrap/>
          </w:tcPr>
          <w:p>
            <w:pPr>
              <w:jc w:val="left"/>
              <w:spacing w:after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 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bottom"/>
            <w:textDirection w:val="lrTb"/>
            <w:noWrap/>
          </w:tcPr>
          <w:p>
            <w:pPr>
              <w:jc w:val="left"/>
              <w:spacing w:after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 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1" w:type="dxa"/>
            <w:vAlign w:val="bottom"/>
            <w:textDirection w:val="lrTb"/>
            <w:noWrap/>
          </w:tcPr>
          <w:p>
            <w:pPr>
              <w:jc w:val="left"/>
              <w:spacing w:after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 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5" w:type="dxa"/>
            <w:vAlign w:val="bottom"/>
            <w:textDirection w:val="lrTb"/>
            <w:noWrap/>
          </w:tcPr>
          <w:p>
            <w:pPr>
              <w:jc w:val="left"/>
              <w:spacing w:after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 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60" w:type="dxa"/>
            <w:vAlign w:val="bottom"/>
            <w:textDirection w:val="lrTb"/>
            <w:noWrap/>
          </w:tcPr>
          <w:p>
            <w:pPr>
              <w:jc w:val="left"/>
              <w:spacing w:after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 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425" w:type="dxa"/>
            <w:vAlign w:val="bottom"/>
            <w:textDirection w:val="lrTb"/>
            <w:noWrap/>
          </w:tcPr>
          <w:p>
            <w:pPr>
              <w:jc w:val="left"/>
              <w:spacing w:after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 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left"/>
              <w:spacing w:after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 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9" w:type="dxa"/>
            <w:vAlign w:val="bottom"/>
            <w:textDirection w:val="lrTb"/>
            <w:noWrap/>
          </w:tcPr>
          <w:p>
            <w:pPr>
              <w:jc w:val="left"/>
              <w:spacing w:after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 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5" w:type="dxa"/>
            <w:vAlign w:val="bottom"/>
            <w:textDirection w:val="lrTb"/>
            <w:noWrap/>
          </w:tcPr>
          <w:p>
            <w:pPr>
              <w:jc w:val="left"/>
              <w:spacing w:after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 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bottom"/>
            <w:textDirection w:val="lrTb"/>
            <w:noWrap/>
          </w:tcPr>
          <w:p>
            <w:pPr>
              <w:jc w:val="left"/>
              <w:spacing w:after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 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60" w:type="dxa"/>
            <w:vAlign w:val="bottom"/>
            <w:textDirection w:val="lrTb"/>
            <w:noWrap/>
          </w:tcPr>
          <w:p>
            <w:pPr>
              <w:jc w:val="left"/>
              <w:spacing w:after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 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5" w:type="dxa"/>
            <w:vAlign w:val="bottom"/>
            <w:textDirection w:val="lrTb"/>
            <w:noWrap/>
          </w:tcPr>
          <w:p>
            <w:pPr>
              <w:jc w:val="left"/>
              <w:spacing w:after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 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9" w:type="dxa"/>
            <w:vAlign w:val="bottom"/>
            <w:textDirection w:val="lrTb"/>
            <w:noWrap/>
          </w:tcPr>
          <w:p>
            <w:pPr>
              <w:jc w:val="left"/>
              <w:spacing w:after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 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94" w:type="dxa"/>
            <w:vAlign w:val="bottom"/>
            <w:textDirection w:val="lrTb"/>
            <w:noWrap/>
          </w:tcPr>
          <w:p>
            <w:pPr>
              <w:jc w:val="left"/>
              <w:spacing w:after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 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30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vAlign w:val="bottom"/>
            <w:textDirection w:val="lrTb"/>
            <w:noWrap/>
          </w:tcPr>
          <w:p>
            <w:pPr>
              <w:jc w:val="left"/>
              <w:spacing w:after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 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9" w:type="dxa"/>
            <w:vAlign w:val="bottom"/>
            <w:textDirection w:val="lrTb"/>
            <w:noWrap/>
          </w:tcPr>
          <w:p>
            <w:pPr>
              <w:jc w:val="left"/>
              <w:spacing w:after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 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bottom"/>
            <w:textDirection w:val="lrTb"/>
            <w:noWrap/>
          </w:tcPr>
          <w:p>
            <w:pPr>
              <w:jc w:val="left"/>
              <w:spacing w:after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 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1" w:type="dxa"/>
            <w:vAlign w:val="bottom"/>
            <w:textDirection w:val="lrTb"/>
            <w:noWrap/>
          </w:tcPr>
          <w:p>
            <w:pPr>
              <w:jc w:val="left"/>
              <w:spacing w:after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 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5" w:type="dxa"/>
            <w:vAlign w:val="bottom"/>
            <w:textDirection w:val="lrTb"/>
            <w:noWrap/>
          </w:tcPr>
          <w:p>
            <w:pPr>
              <w:jc w:val="left"/>
              <w:spacing w:after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 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60" w:type="dxa"/>
            <w:vAlign w:val="bottom"/>
            <w:textDirection w:val="lrTb"/>
            <w:noWrap/>
          </w:tcPr>
          <w:p>
            <w:pPr>
              <w:jc w:val="left"/>
              <w:spacing w:after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 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425" w:type="dxa"/>
            <w:vAlign w:val="bottom"/>
            <w:textDirection w:val="lrTb"/>
            <w:noWrap/>
          </w:tcPr>
          <w:p>
            <w:pPr>
              <w:jc w:val="left"/>
              <w:spacing w:after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 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left"/>
              <w:spacing w:after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 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9" w:type="dxa"/>
            <w:vAlign w:val="bottom"/>
            <w:textDirection w:val="lrTb"/>
            <w:noWrap/>
          </w:tcPr>
          <w:p>
            <w:pPr>
              <w:jc w:val="left"/>
              <w:spacing w:after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 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5" w:type="dxa"/>
            <w:vAlign w:val="bottom"/>
            <w:textDirection w:val="lrTb"/>
            <w:noWrap/>
          </w:tcPr>
          <w:p>
            <w:pPr>
              <w:jc w:val="left"/>
              <w:spacing w:after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 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bottom"/>
            <w:textDirection w:val="lrTb"/>
            <w:noWrap/>
          </w:tcPr>
          <w:p>
            <w:pPr>
              <w:jc w:val="left"/>
              <w:spacing w:after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 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60" w:type="dxa"/>
            <w:vAlign w:val="bottom"/>
            <w:textDirection w:val="lrTb"/>
            <w:noWrap/>
          </w:tcPr>
          <w:p>
            <w:pPr>
              <w:jc w:val="left"/>
              <w:spacing w:after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 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5" w:type="dxa"/>
            <w:vAlign w:val="bottom"/>
            <w:textDirection w:val="lrTb"/>
            <w:noWrap/>
          </w:tcPr>
          <w:p>
            <w:pPr>
              <w:jc w:val="left"/>
              <w:spacing w:after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 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9" w:type="dxa"/>
            <w:vAlign w:val="bottom"/>
            <w:textDirection w:val="lrTb"/>
            <w:noWrap/>
          </w:tcPr>
          <w:p>
            <w:pPr>
              <w:jc w:val="left"/>
              <w:spacing w:after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 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94" w:type="dxa"/>
            <w:vAlign w:val="bottom"/>
            <w:textDirection w:val="lrTb"/>
            <w:noWrap/>
          </w:tcPr>
          <w:p>
            <w:pPr>
              <w:jc w:val="left"/>
              <w:spacing w:after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 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30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vAlign w:val="bottom"/>
            <w:textDirection w:val="lrTb"/>
            <w:noWrap/>
          </w:tcPr>
          <w:p>
            <w:pPr>
              <w:jc w:val="left"/>
              <w:spacing w:after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 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9" w:type="dxa"/>
            <w:vAlign w:val="bottom"/>
            <w:textDirection w:val="lrTb"/>
            <w:noWrap/>
          </w:tcPr>
          <w:p>
            <w:pPr>
              <w:jc w:val="left"/>
              <w:spacing w:after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 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bottom"/>
            <w:textDirection w:val="lrTb"/>
            <w:noWrap/>
          </w:tcPr>
          <w:p>
            <w:pPr>
              <w:jc w:val="left"/>
              <w:spacing w:after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 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1" w:type="dxa"/>
            <w:vAlign w:val="bottom"/>
            <w:textDirection w:val="lrTb"/>
            <w:noWrap/>
          </w:tcPr>
          <w:p>
            <w:pPr>
              <w:jc w:val="left"/>
              <w:spacing w:after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 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5" w:type="dxa"/>
            <w:vAlign w:val="bottom"/>
            <w:textDirection w:val="lrTb"/>
            <w:noWrap/>
          </w:tcPr>
          <w:p>
            <w:pPr>
              <w:jc w:val="left"/>
              <w:spacing w:after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 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60" w:type="dxa"/>
            <w:vAlign w:val="bottom"/>
            <w:textDirection w:val="lrTb"/>
            <w:noWrap/>
          </w:tcPr>
          <w:p>
            <w:pPr>
              <w:jc w:val="left"/>
              <w:spacing w:after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 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425" w:type="dxa"/>
            <w:vAlign w:val="bottom"/>
            <w:textDirection w:val="lrTb"/>
            <w:noWrap/>
          </w:tcPr>
          <w:p>
            <w:pPr>
              <w:jc w:val="left"/>
              <w:spacing w:after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 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left"/>
              <w:spacing w:after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 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9" w:type="dxa"/>
            <w:vAlign w:val="bottom"/>
            <w:textDirection w:val="lrTb"/>
            <w:noWrap/>
          </w:tcPr>
          <w:p>
            <w:pPr>
              <w:jc w:val="left"/>
              <w:spacing w:after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 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5" w:type="dxa"/>
            <w:vAlign w:val="bottom"/>
            <w:textDirection w:val="lrTb"/>
            <w:noWrap/>
          </w:tcPr>
          <w:p>
            <w:pPr>
              <w:jc w:val="left"/>
              <w:spacing w:after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 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bottom"/>
            <w:textDirection w:val="lrTb"/>
            <w:noWrap/>
          </w:tcPr>
          <w:p>
            <w:pPr>
              <w:jc w:val="left"/>
              <w:spacing w:after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 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60" w:type="dxa"/>
            <w:vAlign w:val="bottom"/>
            <w:textDirection w:val="lrTb"/>
            <w:noWrap/>
          </w:tcPr>
          <w:p>
            <w:pPr>
              <w:jc w:val="left"/>
              <w:spacing w:after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 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5" w:type="dxa"/>
            <w:vAlign w:val="bottom"/>
            <w:textDirection w:val="lrTb"/>
            <w:noWrap/>
          </w:tcPr>
          <w:p>
            <w:pPr>
              <w:jc w:val="left"/>
              <w:spacing w:after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 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9" w:type="dxa"/>
            <w:vAlign w:val="bottom"/>
            <w:textDirection w:val="lrTb"/>
            <w:noWrap/>
          </w:tcPr>
          <w:p>
            <w:pPr>
              <w:jc w:val="left"/>
              <w:spacing w:after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 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94" w:type="dxa"/>
            <w:vAlign w:val="bottom"/>
            <w:textDirection w:val="lrTb"/>
            <w:noWrap/>
          </w:tcPr>
          <w:p>
            <w:pPr>
              <w:jc w:val="left"/>
              <w:spacing w:after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 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30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vAlign w:val="bottom"/>
            <w:textDirection w:val="lrTb"/>
            <w:noWrap/>
          </w:tcPr>
          <w:p>
            <w:pPr>
              <w:jc w:val="left"/>
              <w:spacing w:after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 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9" w:type="dxa"/>
            <w:vAlign w:val="bottom"/>
            <w:textDirection w:val="lrTb"/>
            <w:noWrap/>
          </w:tcPr>
          <w:p>
            <w:pPr>
              <w:jc w:val="left"/>
              <w:spacing w:after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 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bottom"/>
            <w:textDirection w:val="lrTb"/>
            <w:noWrap/>
          </w:tcPr>
          <w:p>
            <w:pPr>
              <w:jc w:val="left"/>
              <w:spacing w:after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 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1" w:type="dxa"/>
            <w:vAlign w:val="bottom"/>
            <w:textDirection w:val="lrTb"/>
            <w:noWrap/>
          </w:tcPr>
          <w:p>
            <w:pPr>
              <w:jc w:val="left"/>
              <w:spacing w:after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 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5" w:type="dxa"/>
            <w:vAlign w:val="bottom"/>
            <w:textDirection w:val="lrTb"/>
            <w:noWrap/>
          </w:tcPr>
          <w:p>
            <w:pPr>
              <w:jc w:val="left"/>
              <w:spacing w:after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 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60" w:type="dxa"/>
            <w:vAlign w:val="bottom"/>
            <w:textDirection w:val="lrTb"/>
            <w:noWrap/>
          </w:tcPr>
          <w:p>
            <w:pPr>
              <w:jc w:val="left"/>
              <w:spacing w:after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 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425" w:type="dxa"/>
            <w:vAlign w:val="bottom"/>
            <w:textDirection w:val="lrTb"/>
            <w:noWrap/>
          </w:tcPr>
          <w:p>
            <w:pPr>
              <w:jc w:val="left"/>
              <w:spacing w:after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 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left"/>
              <w:spacing w:after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 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9" w:type="dxa"/>
            <w:vAlign w:val="bottom"/>
            <w:textDirection w:val="lrTb"/>
            <w:noWrap/>
          </w:tcPr>
          <w:p>
            <w:pPr>
              <w:jc w:val="left"/>
              <w:spacing w:after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 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5" w:type="dxa"/>
            <w:vAlign w:val="bottom"/>
            <w:textDirection w:val="lrTb"/>
            <w:noWrap/>
          </w:tcPr>
          <w:p>
            <w:pPr>
              <w:jc w:val="left"/>
              <w:spacing w:after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 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bottom"/>
            <w:textDirection w:val="lrTb"/>
            <w:noWrap/>
          </w:tcPr>
          <w:p>
            <w:pPr>
              <w:jc w:val="left"/>
              <w:spacing w:after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 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60" w:type="dxa"/>
            <w:vAlign w:val="bottom"/>
            <w:textDirection w:val="lrTb"/>
            <w:noWrap/>
          </w:tcPr>
          <w:p>
            <w:pPr>
              <w:jc w:val="left"/>
              <w:spacing w:after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 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5" w:type="dxa"/>
            <w:vAlign w:val="bottom"/>
            <w:textDirection w:val="lrTb"/>
            <w:noWrap/>
          </w:tcPr>
          <w:p>
            <w:pPr>
              <w:jc w:val="left"/>
              <w:spacing w:after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 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9" w:type="dxa"/>
            <w:vAlign w:val="bottom"/>
            <w:textDirection w:val="lrTb"/>
            <w:noWrap/>
          </w:tcPr>
          <w:p>
            <w:pPr>
              <w:jc w:val="left"/>
              <w:spacing w:after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 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94" w:type="dxa"/>
            <w:vAlign w:val="bottom"/>
            <w:textDirection w:val="lrTb"/>
            <w:noWrap/>
          </w:tcPr>
          <w:p>
            <w:pPr>
              <w:jc w:val="left"/>
              <w:spacing w:after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 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30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vAlign w:val="bottom"/>
            <w:textDirection w:val="lrTb"/>
            <w:noWrap/>
          </w:tcPr>
          <w:p>
            <w:pPr>
              <w:jc w:val="left"/>
              <w:spacing w:after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 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9" w:type="dxa"/>
            <w:vAlign w:val="bottom"/>
            <w:textDirection w:val="lrTb"/>
            <w:noWrap/>
          </w:tcPr>
          <w:p>
            <w:pPr>
              <w:jc w:val="left"/>
              <w:spacing w:after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 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bottom"/>
            <w:textDirection w:val="lrTb"/>
            <w:noWrap/>
          </w:tcPr>
          <w:p>
            <w:pPr>
              <w:jc w:val="left"/>
              <w:spacing w:after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 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1" w:type="dxa"/>
            <w:vAlign w:val="bottom"/>
            <w:textDirection w:val="lrTb"/>
            <w:noWrap/>
          </w:tcPr>
          <w:p>
            <w:pPr>
              <w:jc w:val="left"/>
              <w:spacing w:after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 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5" w:type="dxa"/>
            <w:vAlign w:val="bottom"/>
            <w:textDirection w:val="lrTb"/>
            <w:noWrap/>
          </w:tcPr>
          <w:p>
            <w:pPr>
              <w:jc w:val="left"/>
              <w:spacing w:after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 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60" w:type="dxa"/>
            <w:vAlign w:val="bottom"/>
            <w:textDirection w:val="lrTb"/>
            <w:noWrap/>
          </w:tcPr>
          <w:p>
            <w:pPr>
              <w:jc w:val="left"/>
              <w:spacing w:after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 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425" w:type="dxa"/>
            <w:vAlign w:val="bottom"/>
            <w:textDirection w:val="lrTb"/>
            <w:noWrap/>
          </w:tcPr>
          <w:p>
            <w:pPr>
              <w:jc w:val="left"/>
              <w:spacing w:after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 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left"/>
              <w:spacing w:after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 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9" w:type="dxa"/>
            <w:vAlign w:val="bottom"/>
            <w:textDirection w:val="lrTb"/>
            <w:noWrap/>
          </w:tcPr>
          <w:p>
            <w:pPr>
              <w:jc w:val="left"/>
              <w:spacing w:after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 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5" w:type="dxa"/>
            <w:vAlign w:val="bottom"/>
            <w:textDirection w:val="lrTb"/>
            <w:noWrap/>
          </w:tcPr>
          <w:p>
            <w:pPr>
              <w:jc w:val="left"/>
              <w:spacing w:after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 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bottom"/>
            <w:textDirection w:val="lrTb"/>
            <w:noWrap/>
          </w:tcPr>
          <w:p>
            <w:pPr>
              <w:jc w:val="left"/>
              <w:spacing w:after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 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60" w:type="dxa"/>
            <w:vAlign w:val="bottom"/>
            <w:textDirection w:val="lrTb"/>
            <w:noWrap/>
          </w:tcPr>
          <w:p>
            <w:pPr>
              <w:jc w:val="left"/>
              <w:spacing w:after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 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5" w:type="dxa"/>
            <w:vAlign w:val="bottom"/>
            <w:textDirection w:val="lrTb"/>
            <w:noWrap/>
          </w:tcPr>
          <w:p>
            <w:pPr>
              <w:jc w:val="left"/>
              <w:spacing w:after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 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9" w:type="dxa"/>
            <w:vAlign w:val="bottom"/>
            <w:textDirection w:val="lrTb"/>
            <w:noWrap/>
          </w:tcPr>
          <w:p>
            <w:pPr>
              <w:jc w:val="left"/>
              <w:spacing w:after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 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94" w:type="dxa"/>
            <w:vAlign w:val="bottom"/>
            <w:textDirection w:val="lrTb"/>
            <w:noWrap/>
          </w:tcPr>
          <w:p>
            <w:pPr>
              <w:jc w:val="left"/>
              <w:spacing w:after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 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30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vAlign w:val="bottom"/>
            <w:textDirection w:val="lrTb"/>
            <w:noWrap/>
          </w:tcPr>
          <w:p>
            <w:pPr>
              <w:jc w:val="left"/>
              <w:spacing w:after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 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9" w:type="dxa"/>
            <w:vAlign w:val="bottom"/>
            <w:textDirection w:val="lrTb"/>
            <w:noWrap/>
          </w:tcPr>
          <w:p>
            <w:pPr>
              <w:jc w:val="left"/>
              <w:spacing w:after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 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bottom"/>
            <w:textDirection w:val="lrTb"/>
            <w:noWrap/>
          </w:tcPr>
          <w:p>
            <w:pPr>
              <w:jc w:val="left"/>
              <w:spacing w:after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 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1" w:type="dxa"/>
            <w:vAlign w:val="bottom"/>
            <w:textDirection w:val="lrTb"/>
            <w:noWrap/>
          </w:tcPr>
          <w:p>
            <w:pPr>
              <w:jc w:val="left"/>
              <w:spacing w:after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 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5" w:type="dxa"/>
            <w:vAlign w:val="bottom"/>
            <w:textDirection w:val="lrTb"/>
            <w:noWrap/>
          </w:tcPr>
          <w:p>
            <w:pPr>
              <w:jc w:val="left"/>
              <w:spacing w:after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 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60" w:type="dxa"/>
            <w:vAlign w:val="bottom"/>
            <w:textDirection w:val="lrTb"/>
            <w:noWrap/>
          </w:tcPr>
          <w:p>
            <w:pPr>
              <w:jc w:val="left"/>
              <w:spacing w:after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 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425" w:type="dxa"/>
            <w:vAlign w:val="bottom"/>
            <w:textDirection w:val="lrTb"/>
            <w:noWrap/>
          </w:tcPr>
          <w:p>
            <w:pPr>
              <w:jc w:val="left"/>
              <w:spacing w:after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 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left"/>
              <w:spacing w:after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 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9" w:type="dxa"/>
            <w:vAlign w:val="bottom"/>
            <w:textDirection w:val="lrTb"/>
            <w:noWrap/>
          </w:tcPr>
          <w:p>
            <w:pPr>
              <w:jc w:val="left"/>
              <w:spacing w:after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 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5" w:type="dxa"/>
            <w:vAlign w:val="bottom"/>
            <w:textDirection w:val="lrTb"/>
            <w:noWrap/>
          </w:tcPr>
          <w:p>
            <w:pPr>
              <w:jc w:val="left"/>
              <w:spacing w:after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 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bottom"/>
            <w:textDirection w:val="lrTb"/>
            <w:noWrap/>
          </w:tcPr>
          <w:p>
            <w:pPr>
              <w:jc w:val="left"/>
              <w:spacing w:after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 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60" w:type="dxa"/>
            <w:vAlign w:val="bottom"/>
            <w:textDirection w:val="lrTb"/>
            <w:noWrap/>
          </w:tcPr>
          <w:p>
            <w:pPr>
              <w:jc w:val="left"/>
              <w:spacing w:after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 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5" w:type="dxa"/>
            <w:vAlign w:val="bottom"/>
            <w:textDirection w:val="lrTb"/>
            <w:noWrap/>
          </w:tcPr>
          <w:p>
            <w:pPr>
              <w:jc w:val="left"/>
              <w:spacing w:after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 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9" w:type="dxa"/>
            <w:vAlign w:val="bottom"/>
            <w:textDirection w:val="lrTb"/>
            <w:noWrap/>
          </w:tcPr>
          <w:p>
            <w:pPr>
              <w:jc w:val="left"/>
              <w:spacing w:after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 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94" w:type="dxa"/>
            <w:vAlign w:val="bottom"/>
            <w:textDirection w:val="lrTb"/>
            <w:noWrap/>
          </w:tcPr>
          <w:p>
            <w:pPr>
              <w:jc w:val="left"/>
              <w:spacing w:after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 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</w:tr>
    </w:tbl>
    <w:p>
      <w:pPr>
        <w:rPr>
          <w:lang w:eastAsia="en-US"/>
        </w:rPr>
      </w:pPr>
      <w:r>
        <w:rPr>
          <w:lang w:eastAsia="en-US"/>
        </w:rPr>
      </w:r>
      <w:r>
        <w:rPr>
          <w:lang w:eastAsia="en-US"/>
        </w:rPr>
      </w:r>
      <w:r>
        <w:rPr>
          <w:lang w:eastAsia="en-US"/>
        </w:rPr>
      </w:r>
    </w:p>
    <w:p>
      <w:pPr>
        <w:ind w:right="424"/>
        <w:spacing w:after="0"/>
        <w:tabs>
          <w:tab w:val="left" w:pos="4820" w:leader="none"/>
        </w:tabs>
      </w:pPr>
      <w:r>
        <w:t xml:space="preserve">____________________________ </w:t>
      </w:r>
      <w:r>
        <w:tab/>
        <w:t xml:space="preserve">[</w:t>
      </w:r>
      <w:r>
        <w:rPr>
          <w:shd w:val="clear" w:color="auto" w:fill="d9d9d9" w:themeFill="background1" w:themeFillShade="D9"/>
        </w:rPr>
        <w:t xml:space="preserve">указать</w:t>
      </w:r>
      <w:r>
        <w:t xml:space="preserve">] ____________________________</w:t>
      </w:r>
      <w:r/>
    </w:p>
    <w:p>
      <w:pPr>
        <w:pStyle w:val="1340"/>
        <w:ind w:right="567"/>
        <w:tabs>
          <w:tab w:val="left" w:pos="5245" w:leader="none"/>
        </w:tabs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  <w:vertAlign w:val="superscript"/>
        </w:rPr>
        <w:t xml:space="preserve">(подпись, М.П.)  </w:t>
      </w:r>
      <w:r>
        <w:rPr>
          <w:rFonts w:ascii="Times New Roman" w:hAnsi="Times New Roman"/>
          <w:sz w:val="24"/>
          <w:szCs w:val="24"/>
          <w:vertAlign w:val="superscript"/>
        </w:rPr>
        <w:tab/>
        <w:t xml:space="preserve">(фамилия, имя, отчество подписавшего, должность)</w:t>
      </w:r>
      <w:r>
        <w:rPr>
          <w:rFonts w:ascii="Times New Roman" w:hAnsi="Times New Roman"/>
          <w:sz w:val="24"/>
          <w:szCs w:val="24"/>
          <w:vertAlign w:val="superscript"/>
        </w:rPr>
      </w:r>
      <w:r>
        <w:rPr>
          <w:rFonts w:ascii="Times New Roman" w:hAnsi="Times New Roman"/>
          <w:sz w:val="24"/>
          <w:szCs w:val="24"/>
          <w:vertAlign w:val="superscript"/>
        </w:rPr>
      </w:r>
    </w:p>
    <w:p>
      <w:pPr>
        <w:spacing w:after="0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spacing w:after="0"/>
        <w:rPr>
          <w:b/>
        </w:rPr>
      </w:pPr>
      <w:r>
        <w:rPr>
          <w:b/>
        </w:rPr>
        <w:t xml:space="preserve">Инструкции по заполнению:</w:t>
      </w:r>
      <w:r>
        <w:rPr>
          <w:b/>
        </w:rPr>
      </w:r>
      <w:r>
        <w:rPr>
          <w:b/>
        </w:rPr>
      </w:r>
    </w:p>
    <w:p>
      <w:pPr>
        <w:pStyle w:val="1311"/>
        <w:numPr>
          <w:ilvl w:val="0"/>
          <w:numId w:val="14"/>
        </w:numPr>
        <w:ind w:left="426"/>
        <w:jc w:val="both"/>
      </w:pPr>
      <w:r>
        <w:t xml:space="preserve">данные инструкции не следует воспроизводить в документах, подготовленных Участником закупки;</w:t>
      </w:r>
      <w:r/>
    </w:p>
    <w:p>
      <w:pPr>
        <w:pStyle w:val="1311"/>
        <w:numPr>
          <w:ilvl w:val="0"/>
          <w:numId w:val="14"/>
        </w:numPr>
        <w:ind w:left="426"/>
        <w:jc w:val="both"/>
      </w:pPr>
      <w:r>
        <w:t xml:space="preserve">участник закупки приводит наименование процедуры закупки, номер лота (в случае проведения многолотовой закупки), номер извещения о проведении закупки в ЕИС;</w:t>
      </w:r>
      <w:r/>
    </w:p>
    <w:p>
      <w:pPr>
        <w:pStyle w:val="1311"/>
        <w:numPr>
          <w:ilvl w:val="0"/>
          <w:numId w:val="14"/>
        </w:numPr>
        <w:ind w:left="426"/>
        <w:jc w:val="both"/>
      </w:pPr>
      <w:r>
        <w:t xml:space="preserve">участник закупки приводит наименования юридического лица и адреса места нахождения, либо фамилию, имя, отчество, паспортные данные, адрес прописки (адрес регистрации) физического лица, в том числе индивидуального предпринимателя;</w:t>
      </w:r>
      <w:r/>
    </w:p>
    <w:p>
      <w:pPr>
        <w:pStyle w:val="1311"/>
        <w:numPr>
          <w:ilvl w:val="0"/>
          <w:numId w:val="14"/>
        </w:numPr>
        <w:ind w:left="426"/>
        <w:jc w:val="both"/>
      </w:pPr>
      <w:r>
        <w:t xml:space="preserve">в случае, если одним или несколькими участниками / учредителями / акционерами контрагента являются юридические </w:t>
      </w:r>
      <w:r>
        <w:t xml:space="preserve">лица, то в зависимости от организационно-правовой формы, необходимо раскрыть цепочку их участников/учредителей/акционеров до уровня конечных бенефициаров с соблюдением нумерации и представить копии подтверждающих документов для всей цепочки с их указанием.</w:t>
      </w:r>
      <w:r/>
    </w:p>
    <w:p>
      <w:pPr>
        <w:pStyle w:val="1311"/>
        <w:numPr>
          <w:ilvl w:val="0"/>
          <w:numId w:val="14"/>
        </w:numPr>
        <w:ind w:left="426"/>
        <w:jc w:val="both"/>
      </w:pPr>
      <w:r>
        <w:t xml:space="preserve">в качестве подтверждающего документа могут быть представлены, например, выписка из ЕГРЮЛ, ЕГРИП, решение (протокол) о назначении исполнительного органа, выписка из реестра акционеров (список лиц, зарегистрированных в реестре владельцев ценных бумаг) и т.п.</w:t>
      </w:r>
      <w:r/>
    </w:p>
    <w:p>
      <w:pPr>
        <w:ind w:left="426"/>
      </w:pPr>
      <w:r>
        <w:rPr>
          <w:b/>
        </w:rPr>
        <w:t xml:space="preserve">Участник закупки к письму о подаче оферты должен приложить файл данной формы, </w:t>
      </w:r>
      <w:r>
        <w:rPr>
          <w:b/>
        </w:rPr>
        <w:t xml:space="preserve">выполненный в</w:t>
      </w:r>
      <w:r>
        <w:rPr>
          <w:b/>
        </w:rPr>
        <w:t xml:space="preserve"> </w:t>
      </w:r>
      <w:r>
        <w:rPr>
          <w:b/>
        </w:rPr>
        <w:t xml:space="preserve">редактируемом</w:t>
      </w:r>
      <w:r>
        <w:rPr>
          <w:b/>
        </w:rPr>
        <w:t xml:space="preserve"> формате</w:t>
      </w:r>
      <w:r>
        <w:rPr>
          <w:b/>
        </w:rPr>
        <w:t xml:space="preserve">.</w:t>
      </w:r>
      <w:r/>
    </w:p>
    <w:p>
      <w:pPr>
        <w:rPr>
          <w:lang w:eastAsia="en-US"/>
        </w:rPr>
      </w:pPr>
      <w:r>
        <w:rPr>
          <w:lang w:eastAsia="en-US"/>
        </w:rPr>
      </w:r>
      <w:r>
        <w:rPr>
          <w:lang w:eastAsia="en-US"/>
        </w:rPr>
      </w:r>
      <w:r>
        <w:rPr>
          <w:lang w:eastAsia="en-US"/>
        </w:rPr>
      </w:r>
    </w:p>
    <w:p>
      <w:pPr>
        <w:rPr>
          <w:lang w:eastAsia="en-US"/>
        </w:rPr>
      </w:pPr>
      <w:r>
        <w:rPr>
          <w:lang w:eastAsia="en-US"/>
        </w:rPr>
      </w:r>
      <w:r>
        <w:rPr>
          <w:lang w:eastAsia="en-US"/>
        </w:rPr>
      </w:r>
      <w:r>
        <w:rPr>
          <w:lang w:eastAsia="en-US"/>
        </w:rPr>
      </w:r>
    </w:p>
    <w:p>
      <w:pPr>
        <w:rPr>
          <w:lang w:eastAsia="en-US"/>
        </w:rPr>
      </w:pPr>
      <w:r>
        <w:rPr>
          <w:lang w:eastAsia="en-US"/>
        </w:rPr>
      </w:r>
      <w:r>
        <w:rPr>
          <w:lang w:eastAsia="en-US"/>
        </w:rPr>
      </w:r>
      <w:r>
        <w:rPr>
          <w:lang w:eastAsia="en-US"/>
        </w:rPr>
      </w:r>
    </w:p>
    <w:p>
      <w:pPr>
        <w:rPr>
          <w:lang w:eastAsia="en-US"/>
        </w:rPr>
      </w:pPr>
      <w:r>
        <w:rPr>
          <w:lang w:eastAsia="en-US"/>
        </w:rPr>
      </w:r>
      <w:r>
        <w:rPr>
          <w:lang w:eastAsia="en-US"/>
        </w:rPr>
      </w:r>
      <w:r>
        <w:rPr>
          <w:lang w:eastAsia="en-US"/>
        </w:rPr>
      </w:r>
    </w:p>
    <w:p>
      <w:pPr>
        <w:rPr>
          <w:lang w:eastAsia="en-US"/>
        </w:rPr>
      </w:pPr>
      <w:r>
        <w:rPr>
          <w:lang w:eastAsia="en-US"/>
        </w:rPr>
      </w:r>
      <w:r>
        <w:rPr>
          <w:lang w:eastAsia="en-US"/>
        </w:rPr>
      </w:r>
      <w:r>
        <w:rPr>
          <w:lang w:eastAsia="en-US"/>
        </w:rPr>
      </w:r>
    </w:p>
    <w:p>
      <w:pPr>
        <w:rPr>
          <w:lang w:eastAsia="en-US"/>
        </w:rPr>
      </w:pPr>
      <w:r>
        <w:rPr>
          <w:lang w:eastAsia="en-US"/>
        </w:rPr>
      </w:r>
      <w:r>
        <w:rPr>
          <w:lang w:eastAsia="en-US"/>
        </w:rPr>
      </w:r>
      <w:r>
        <w:rPr>
          <w:lang w:eastAsia="en-US"/>
        </w:rPr>
      </w:r>
    </w:p>
    <w:p>
      <w:pPr>
        <w:rPr>
          <w:lang w:eastAsia="en-US"/>
        </w:rPr>
      </w:pPr>
      <w:r>
        <w:rPr>
          <w:lang w:eastAsia="en-US"/>
        </w:rPr>
      </w:r>
      <w:r>
        <w:rPr>
          <w:lang w:eastAsia="en-US"/>
        </w:rPr>
      </w:r>
      <w:r>
        <w:rPr>
          <w:lang w:eastAsia="en-US"/>
        </w:rPr>
      </w:r>
    </w:p>
    <w:p>
      <w:pPr>
        <w:rPr>
          <w:lang w:eastAsia="en-US"/>
        </w:rPr>
      </w:pPr>
      <w:r>
        <w:rPr>
          <w:lang w:eastAsia="en-US"/>
        </w:rPr>
      </w:r>
      <w:r>
        <w:rPr>
          <w:lang w:eastAsia="en-US"/>
        </w:rPr>
      </w:r>
      <w:r>
        <w:rPr>
          <w:lang w:eastAsia="en-US"/>
        </w:rPr>
      </w:r>
    </w:p>
    <w:p>
      <w:pPr>
        <w:rPr>
          <w:lang w:eastAsia="en-US"/>
        </w:rPr>
      </w:pPr>
      <w:r>
        <w:rPr>
          <w:lang w:eastAsia="en-US"/>
        </w:rPr>
      </w:r>
      <w:r>
        <w:rPr>
          <w:lang w:eastAsia="en-US"/>
        </w:rPr>
      </w:r>
      <w:r>
        <w:rPr>
          <w:lang w:eastAsia="en-US"/>
        </w:rPr>
      </w:r>
    </w:p>
    <w:p>
      <w:pPr>
        <w:rPr>
          <w:lang w:eastAsia="en-US"/>
        </w:rPr>
      </w:pPr>
      <w:r>
        <w:rPr>
          <w:lang w:eastAsia="en-US"/>
        </w:rPr>
      </w:r>
      <w:r>
        <w:rPr>
          <w:lang w:eastAsia="en-US"/>
        </w:rPr>
      </w:r>
      <w:r>
        <w:rPr>
          <w:lang w:eastAsia="en-US"/>
        </w:rPr>
      </w:r>
    </w:p>
    <w:p>
      <w:pPr>
        <w:rPr>
          <w:lang w:eastAsia="en-US"/>
        </w:rPr>
      </w:pPr>
      <w:r>
        <w:rPr>
          <w:lang w:eastAsia="en-US"/>
        </w:rPr>
      </w:r>
      <w:r>
        <w:rPr>
          <w:lang w:eastAsia="en-US"/>
        </w:rPr>
      </w:r>
      <w:r>
        <w:rPr>
          <w:lang w:eastAsia="en-US"/>
        </w:rPr>
      </w:r>
    </w:p>
    <w:p>
      <w:pPr>
        <w:rPr>
          <w:lang w:eastAsia="en-US"/>
        </w:rPr>
      </w:pPr>
      <w:r>
        <w:rPr>
          <w:lang w:eastAsia="en-US"/>
        </w:rPr>
      </w:r>
      <w:r>
        <w:rPr>
          <w:lang w:eastAsia="en-US"/>
        </w:rPr>
      </w:r>
      <w:r>
        <w:rPr>
          <w:lang w:eastAsia="en-US"/>
        </w:rPr>
      </w:r>
    </w:p>
    <w:p>
      <w:pPr>
        <w:rPr>
          <w:lang w:eastAsia="en-US"/>
        </w:rPr>
      </w:pPr>
      <w:r>
        <w:rPr>
          <w:lang w:eastAsia="en-US"/>
        </w:rPr>
      </w:r>
      <w:r>
        <w:rPr>
          <w:lang w:eastAsia="en-US"/>
        </w:rPr>
      </w:r>
      <w:r>
        <w:rPr>
          <w:lang w:eastAsia="en-US"/>
        </w:rPr>
      </w:r>
    </w:p>
    <w:p>
      <w:pPr>
        <w:rPr>
          <w:lang w:eastAsia="en-US"/>
        </w:rPr>
      </w:pPr>
      <w:r>
        <w:rPr>
          <w:lang w:eastAsia="en-US"/>
        </w:rPr>
      </w:r>
      <w:r>
        <w:rPr>
          <w:lang w:eastAsia="en-US"/>
        </w:rPr>
      </w:r>
      <w:r>
        <w:rPr>
          <w:lang w:eastAsia="en-US"/>
        </w:rPr>
      </w:r>
    </w:p>
    <w:p>
      <w:pPr>
        <w:rPr>
          <w:lang w:eastAsia="en-US"/>
        </w:rPr>
      </w:pPr>
      <w:r>
        <w:rPr>
          <w:lang w:eastAsia="en-US"/>
        </w:rPr>
      </w:r>
      <w:r>
        <w:rPr>
          <w:lang w:eastAsia="en-US"/>
        </w:rPr>
      </w:r>
      <w:r>
        <w:rPr>
          <w:lang w:eastAsia="en-US"/>
        </w:rPr>
      </w:r>
    </w:p>
    <w:p>
      <w:pPr>
        <w:rPr>
          <w:lang w:eastAsia="en-US"/>
        </w:rPr>
      </w:pPr>
      <w:r>
        <w:rPr>
          <w:lang w:eastAsia="en-US"/>
        </w:rPr>
      </w:r>
      <w:r>
        <w:rPr>
          <w:lang w:eastAsia="en-US"/>
        </w:rPr>
      </w:r>
      <w:r>
        <w:rPr>
          <w:lang w:eastAsia="en-US"/>
        </w:rPr>
      </w:r>
    </w:p>
    <w:p>
      <w:pPr>
        <w:rPr>
          <w:lang w:eastAsia="en-US"/>
        </w:rPr>
        <w:sectPr>
          <w:footnotePr/>
          <w:endnotePr/>
          <w:type w:val="nextPage"/>
          <w:pgSz w:w="16838" w:h="11906" w:orient="landscape"/>
          <w:pgMar w:top="1134" w:right="902" w:bottom="567" w:left="1077" w:header="709" w:footer="709" w:gutter="0"/>
          <w:cols w:num="1" w:sep="0" w:space="708" w:equalWidth="1"/>
          <w:docGrid w:linePitch="360"/>
          <w:titlePg/>
        </w:sectPr>
      </w:pPr>
      <w:r>
        <w:rPr>
          <w:lang w:eastAsia="en-US"/>
        </w:rPr>
      </w:r>
      <w:r>
        <w:rPr>
          <w:lang w:eastAsia="en-US"/>
        </w:rPr>
      </w:r>
      <w:r>
        <w:rPr>
          <w:lang w:eastAsia="en-US"/>
        </w:rPr>
      </w:r>
    </w:p>
    <w:p>
      <w:pPr>
        <w:pStyle w:val="1149"/>
        <w:ind w:left="0" w:firstLine="0"/>
        <w:pageBreakBefore/>
        <w:spacing w:after="0"/>
        <w:tabs>
          <w:tab w:val="clear" w:pos="576" w:leader="none"/>
        </w:tabs>
        <w:rPr>
          <w:sz w:val="24"/>
          <w:szCs w:val="24"/>
        </w:rPr>
      </w:pPr>
      <w:r/>
      <w:bookmarkStart w:id="368" w:name="_Toc53"/>
      <w:r/>
      <w:bookmarkStart w:id="275" w:name="_ФОРМА_11._Согласие"/>
      <w:r/>
      <w:bookmarkEnd w:id="275"/>
      <w:r>
        <w:rPr>
          <w:sz w:val="24"/>
          <w:szCs w:val="24"/>
        </w:rPr>
        <w:t xml:space="preserve">ФОРМА  </w:t>
      </w:r>
      <w:r>
        <w:rPr>
          <w:sz w:val="24"/>
          <w:szCs w:val="24"/>
        </w:rPr>
        <w:t xml:space="preserve">Согласие</w:t>
      </w:r>
      <w:r>
        <w:rPr>
          <w:sz w:val="24"/>
          <w:szCs w:val="24"/>
        </w:rPr>
        <w:t xml:space="preserve"> </w:t>
      </w:r>
      <w:r>
        <w:rPr>
          <w:bCs w:val="0"/>
          <w:sz w:val="24"/>
          <w:szCs w:val="24"/>
        </w:rPr>
        <w:t xml:space="preserve">на обработку персональных данных</w:t>
      </w:r>
      <w:r>
        <w:rPr>
          <w:sz w:val="24"/>
          <w:szCs w:val="24"/>
        </w:rPr>
      </w:r>
      <w:bookmarkEnd w:id="368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spacing w:after="0"/>
        <w:rPr>
          <w:b/>
          <w:bCs/>
        </w:rPr>
      </w:pPr>
      <w:r>
        <w:rPr>
          <w:b/>
          <w:highlight w:val="none"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0"/>
        <w:rPr>
          <w:b/>
          <w:bCs/>
          <w:highlight w:val="none"/>
        </w:rPr>
      </w:pPr>
      <w:r>
        <w:rPr>
          <w:b/>
        </w:rPr>
        <w:t xml:space="preserve">Согласие на обработку персональных данных </w:t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jc w:val="center"/>
        <w:spacing w:after="0"/>
        <w:tabs>
          <w:tab w:val="left" w:pos="0" w:leader="none"/>
        </w:tabs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 xml:space="preserve">от «</w:t>
      </w:r>
      <w:r>
        <w:rPr>
          <w:rFonts w:eastAsia="Calibri"/>
          <w:lang w:eastAsia="en-US"/>
        </w:rPr>
        <w:t xml:space="preserve">_____</w:t>
      </w:r>
      <w:r>
        <w:rPr>
          <w:rFonts w:eastAsia="Calibri"/>
          <w:b/>
          <w:lang w:eastAsia="en-US"/>
        </w:rPr>
        <w:t xml:space="preserve">» </w:t>
      </w:r>
      <w:r>
        <w:rPr>
          <w:rFonts w:eastAsia="Calibri"/>
          <w:lang w:eastAsia="en-US"/>
        </w:rPr>
        <w:t xml:space="preserve">____________</w:t>
      </w:r>
      <w:r>
        <w:rPr>
          <w:rFonts w:eastAsia="Calibri"/>
          <w:b/>
          <w:lang w:eastAsia="en-US"/>
        </w:rPr>
        <w:t xml:space="preserve"> 20</w:t>
      </w:r>
      <w:r>
        <w:rPr>
          <w:rFonts w:eastAsia="Calibri"/>
          <w:lang w:eastAsia="en-US"/>
        </w:rPr>
        <w:t xml:space="preserve">____</w:t>
      </w:r>
      <w:r>
        <w:rPr>
          <w:rFonts w:eastAsia="Calibri"/>
          <w:b/>
          <w:lang w:eastAsia="en-US"/>
        </w:rPr>
        <w:t xml:space="preserve"> г.</w:t>
      </w:r>
      <w:r>
        <w:rPr>
          <w:rFonts w:eastAsia="Calibri"/>
          <w:b/>
          <w:lang w:eastAsia="en-US"/>
        </w:rPr>
      </w:r>
      <w:r>
        <w:rPr>
          <w:rFonts w:eastAsia="Calibri"/>
          <w:b/>
          <w:lang w:eastAsia="en-US"/>
        </w:rPr>
      </w:r>
    </w:p>
    <w:p>
      <w:pPr>
        <w:jc w:val="center"/>
        <w:spacing w:after="0"/>
        <w:rPr>
          <w:rFonts w:eastAsia="Calibri"/>
          <w:lang w:eastAsia="en-US"/>
        </w:rPr>
      </w:pP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spacing w:after="0"/>
        <w:widowControl w:val="off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Настоящим __________________________________________________________________________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jc w:val="center"/>
        <w:spacing w:after="0"/>
        <w:widowControl w:val="off"/>
        <w:rPr>
          <w:rFonts w:eastAsia="Calibri"/>
          <w:i/>
          <w:lang w:eastAsia="en-US"/>
        </w:rPr>
      </w:pPr>
      <w:r>
        <w:rPr>
          <w:rFonts w:eastAsia="Calibri"/>
          <w:i/>
          <w:lang w:eastAsia="en-US"/>
        </w:rPr>
        <w:t xml:space="preserve">(указывается</w:t>
      </w:r>
      <w:r>
        <w:rPr>
          <w:rFonts w:eastAsia="Calibri"/>
          <w:lang w:eastAsia="en-US"/>
        </w:rPr>
        <w:t xml:space="preserve"> </w:t>
      </w:r>
      <w:r>
        <w:rPr>
          <w:rFonts w:eastAsia="Calibri"/>
          <w:i/>
          <w:lang w:eastAsia="en-US"/>
        </w:rPr>
        <w:t xml:space="preserve">полное наименование участника закупочной процедуры</w:t>
      </w:r>
      <w:r>
        <w:rPr>
          <w:rFonts w:eastAsia="Calibri"/>
          <w:i/>
          <w:lang w:eastAsia="en-US"/>
        </w:rPr>
      </w:r>
      <w:r>
        <w:rPr>
          <w:rFonts w:eastAsia="Calibri"/>
          <w:i/>
          <w:lang w:eastAsia="en-US"/>
        </w:rPr>
      </w:r>
    </w:p>
    <w:p>
      <w:pPr>
        <w:jc w:val="center"/>
        <w:spacing w:after="0"/>
        <w:widowControl w:val="off"/>
        <w:rPr>
          <w:rFonts w:eastAsia="Calibri"/>
          <w:lang w:eastAsia="en-US"/>
        </w:rPr>
      </w:pPr>
      <w:r>
        <w:rPr>
          <w:rFonts w:eastAsia="Calibri"/>
          <w:b/>
          <w:i/>
          <w:lang w:eastAsia="en-US"/>
        </w:rPr>
        <w:t xml:space="preserve">_____________________________________________________________________________________</w:t>
      </w:r>
      <w:r>
        <w:rPr>
          <w:rFonts w:eastAsia="Calibri"/>
          <w:lang w:eastAsia="en-US"/>
        </w:rPr>
        <w:t xml:space="preserve"> </w:t>
      </w:r>
      <w:r>
        <w:rPr>
          <w:rFonts w:eastAsia="Calibri"/>
          <w:i/>
          <w:lang w:eastAsia="en-US"/>
        </w:rPr>
        <w:t xml:space="preserve">(потенциального контрагента), контрагента)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spacing w:after="0"/>
        <w:widowControl w:val="off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Адрес регистрации: ___________________________________________________________________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spacing w:after="0"/>
        <w:widowControl w:val="off"/>
        <w:rPr>
          <w:rFonts w:eastAsia="Calibri"/>
          <w:lang w:eastAsia="en-US"/>
        </w:rPr>
      </w:pP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spacing w:after="0"/>
        <w:widowControl w:val="off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Свидетельство о регистрации: __________________________________________________________ 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spacing w:after="0"/>
        <w:widowControl w:val="off"/>
        <w:rPr>
          <w:rFonts w:eastAsia="Calibri"/>
          <w:b/>
          <w:i/>
          <w:lang w:eastAsia="en-US"/>
        </w:rPr>
      </w:pPr>
      <w:r>
        <w:rPr>
          <w:rFonts w:eastAsia="Calibri"/>
          <w:b/>
          <w:i/>
          <w:lang w:eastAsia="en-US"/>
        </w:rPr>
      </w:r>
      <w:r>
        <w:rPr>
          <w:rFonts w:eastAsia="Calibri"/>
          <w:b/>
          <w:i/>
          <w:lang w:eastAsia="en-US"/>
        </w:rPr>
      </w:r>
      <w:r>
        <w:rPr>
          <w:rFonts w:eastAsia="Calibri"/>
          <w:b/>
          <w:i/>
          <w:lang w:eastAsia="en-US"/>
        </w:rPr>
      </w:r>
    </w:p>
    <w:p>
      <w:pPr>
        <w:spacing w:after="0"/>
        <w:widowControl w:val="off"/>
        <w:rPr>
          <w:rFonts w:eastAsia="Calibri"/>
          <w:b/>
          <w:i/>
          <w:lang w:eastAsia="en-US"/>
        </w:rPr>
      </w:pPr>
      <w:r>
        <w:rPr>
          <w:rFonts w:eastAsia="Calibri"/>
          <w:i/>
          <w:lang w:eastAsia="en-US"/>
        </w:rPr>
        <w:t xml:space="preserve">ИНН </w:t>
      </w:r>
      <w:r>
        <w:rPr>
          <w:rFonts w:eastAsia="Calibri"/>
          <w:b/>
          <w:i/>
          <w:lang w:eastAsia="en-US"/>
        </w:rPr>
        <w:t xml:space="preserve">_________________________, </w:t>
      </w:r>
      <w:r>
        <w:rPr>
          <w:rFonts w:eastAsia="Calibri"/>
          <w:i/>
          <w:lang w:eastAsia="en-US"/>
        </w:rPr>
        <w:t xml:space="preserve">КПП </w:t>
      </w:r>
      <w:r>
        <w:rPr>
          <w:rFonts w:eastAsia="Calibri"/>
          <w:b/>
          <w:i/>
          <w:lang w:eastAsia="en-US"/>
        </w:rPr>
        <w:t xml:space="preserve">_______________________, </w:t>
      </w:r>
      <w:r>
        <w:rPr>
          <w:rFonts w:eastAsia="Calibri"/>
          <w:i/>
          <w:lang w:eastAsia="en-US"/>
        </w:rPr>
        <w:t xml:space="preserve">ОГРН ___________________</w:t>
      </w:r>
      <w:r>
        <w:rPr>
          <w:rFonts w:eastAsia="Calibri"/>
          <w:b/>
          <w:i/>
          <w:lang w:eastAsia="en-US"/>
        </w:rPr>
      </w:r>
      <w:r>
        <w:rPr>
          <w:rFonts w:eastAsia="Calibri"/>
          <w:b/>
          <w:i/>
          <w:lang w:eastAsia="en-US"/>
        </w:rPr>
      </w:r>
    </w:p>
    <w:p>
      <w:pPr>
        <w:spacing w:after="0"/>
        <w:widowControl w:val="off"/>
        <w:rPr>
          <w:rFonts w:eastAsia="Calibri"/>
          <w:lang w:eastAsia="en-US"/>
        </w:rPr>
      </w:pP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spacing w:after="0"/>
        <w:widowControl w:val="off"/>
        <w:rPr>
          <w:rFonts w:eastAsia="Calibri"/>
          <w:b/>
          <w:i/>
          <w:lang w:eastAsia="en-US"/>
        </w:rPr>
      </w:pPr>
      <w:r>
        <w:rPr>
          <w:rFonts w:eastAsia="Calibri"/>
          <w:lang w:eastAsia="en-US"/>
        </w:rPr>
        <w:t xml:space="preserve">в лице</w:t>
      </w:r>
      <w:r>
        <w:rPr>
          <w:rFonts w:eastAsia="Calibri"/>
          <w:b/>
          <w:i/>
          <w:lang w:eastAsia="en-US"/>
        </w:rPr>
        <w:t xml:space="preserve"> _______________________________________________________________________________</w:t>
      </w:r>
      <w:r>
        <w:rPr>
          <w:rFonts w:eastAsia="Calibri"/>
          <w:b/>
          <w:i/>
          <w:lang w:eastAsia="en-US"/>
        </w:rPr>
      </w:r>
      <w:r>
        <w:rPr>
          <w:rFonts w:eastAsia="Calibri"/>
          <w:b/>
          <w:i/>
          <w:lang w:eastAsia="en-US"/>
        </w:rPr>
      </w:r>
    </w:p>
    <w:p>
      <w:pPr>
        <w:jc w:val="center"/>
        <w:spacing w:after="0"/>
        <w:rPr>
          <w:rFonts w:eastAsia="Calibri"/>
          <w:bCs/>
          <w:i/>
          <w:iCs/>
          <w:lang w:eastAsia="en-US"/>
        </w:rPr>
      </w:pPr>
      <w:r>
        <w:rPr>
          <w:rFonts w:eastAsia="Calibri"/>
          <w:i/>
          <w:lang w:eastAsia="en-US"/>
        </w:rPr>
        <w:t xml:space="preserve">(указываются Ф.И.О.,</w:t>
      </w:r>
      <w:r>
        <w:rPr>
          <w:rFonts w:eastAsia="Calibri"/>
          <w:bCs/>
          <w:i/>
          <w:iCs/>
          <w:lang w:eastAsia="en-US"/>
        </w:rPr>
        <w:t xml:space="preserve"> адрес, номер основного документа, удостоверяющего личность,</w:t>
      </w:r>
      <w:r>
        <w:rPr>
          <w:rFonts w:eastAsia="Calibri"/>
          <w:bCs/>
          <w:i/>
          <w:iCs/>
          <w:lang w:eastAsia="en-US"/>
        </w:rPr>
      </w:r>
      <w:r>
        <w:rPr>
          <w:rFonts w:eastAsia="Calibri"/>
          <w:bCs/>
          <w:i/>
          <w:iCs/>
          <w:lang w:eastAsia="en-US"/>
        </w:rPr>
      </w:r>
    </w:p>
    <w:p>
      <w:pPr>
        <w:jc w:val="left"/>
        <w:spacing w:after="0"/>
        <w:rPr>
          <w:rFonts w:eastAsia="Calibri"/>
          <w:lang w:eastAsia="en-US"/>
        </w:rPr>
      </w:pPr>
      <w:r>
        <w:rPr>
          <w:rFonts w:eastAsia="Calibri"/>
          <w:b/>
          <w:bCs/>
          <w:i/>
          <w:iCs/>
          <w:lang w:eastAsia="en-US"/>
        </w:rPr>
        <w:t xml:space="preserve">____________________________________________________________________________________</w:t>
      </w:r>
      <w:r>
        <w:rPr>
          <w:rFonts w:eastAsia="Calibri"/>
          <w:bCs/>
          <w:iCs/>
          <w:lang w:eastAsia="en-US"/>
        </w:rPr>
        <w:t xml:space="preserve">,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jc w:val="center"/>
        <w:spacing w:after="0"/>
        <w:rPr>
          <w:rFonts w:eastAsia="Calibri"/>
          <w:b/>
          <w:bCs/>
          <w:i/>
          <w:iCs/>
          <w:lang w:eastAsia="en-US"/>
        </w:rPr>
      </w:pPr>
      <w:r>
        <w:rPr>
          <w:rFonts w:eastAsia="Calibri"/>
          <w:bCs/>
          <w:i/>
          <w:iCs/>
          <w:lang w:eastAsia="en-US"/>
        </w:rPr>
        <w:t xml:space="preserve">сведения о дате выдачи указанного документа и выдавшем его органе)</w:t>
      </w:r>
      <w:r>
        <w:rPr>
          <w:rFonts w:eastAsia="Calibri"/>
          <w:b/>
          <w:bCs/>
          <w:i/>
          <w:iCs/>
          <w:lang w:eastAsia="en-US"/>
        </w:rPr>
      </w:r>
      <w:r>
        <w:rPr>
          <w:rFonts w:eastAsia="Calibri"/>
          <w:b/>
          <w:bCs/>
          <w:i/>
          <w:iCs/>
          <w:lang w:eastAsia="en-US"/>
        </w:rPr>
      </w:r>
    </w:p>
    <w:p>
      <w:pPr>
        <w:spacing w:after="0"/>
        <w:widowControl w:val="off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действующего на основании</w:t>
      </w:r>
      <w:r>
        <w:rPr>
          <w:rFonts w:eastAsia="Calibri"/>
          <w:i/>
          <w:lang w:eastAsia="en-US"/>
        </w:rPr>
        <w:t xml:space="preserve"> </w:t>
      </w:r>
      <w:r>
        <w:rPr>
          <w:rFonts w:eastAsia="Calibri"/>
          <w:b/>
          <w:i/>
          <w:lang w:eastAsia="en-US"/>
        </w:rPr>
        <w:t xml:space="preserve">_____________________________________</w:t>
      </w:r>
      <w:r>
        <w:rPr>
          <w:rFonts w:eastAsia="Calibri"/>
          <w:lang w:eastAsia="en-US"/>
        </w:rPr>
        <w:t xml:space="preserve">,* дает свое согласие </w:t>
      </w:r>
      <w:r>
        <w:rPr>
          <w:b/>
        </w:rPr>
        <w:t xml:space="preserve">Публичному акционерному обществу «Россети Северо-Запад», </w:t>
      </w:r>
      <w:r>
        <w:rPr>
          <w:rFonts w:eastAsia="Calibri"/>
          <w:lang w:eastAsia="en-US"/>
        </w:rPr>
        <w:t xml:space="preserve">зарегистрированному по адресу: </w:t>
      </w:r>
      <w:r>
        <w:t xml:space="preserve">г. Санкт-Петербург, пл. Конституции, д.3, лит. А,</w:t>
      </w:r>
      <w:r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 xml:space="preserve">и</w:t>
      </w:r>
      <w:r>
        <w:rPr>
          <w:rFonts w:eastAsia="Calibri"/>
          <w:i/>
          <w:lang w:eastAsia="en-US"/>
        </w:rPr>
        <w:t xml:space="preserve"> </w:t>
      </w:r>
      <w:r>
        <w:rPr>
          <w:rFonts w:eastAsia="Calibri"/>
          <w:b/>
          <w:lang w:eastAsia="en-US"/>
        </w:rPr>
        <w:t xml:space="preserve">Публичному акционерному обществу «</w:t>
      </w:r>
      <w:r>
        <w:rPr>
          <w:rFonts w:eastAsia="Calibri"/>
          <w:b/>
          <w:lang w:eastAsia="en-US"/>
        </w:rPr>
        <w:t xml:space="preserve">Федеральная сетевая компания - Россети</w:t>
      </w:r>
      <w:r>
        <w:rPr>
          <w:rFonts w:eastAsia="Calibri"/>
          <w:b/>
          <w:lang w:eastAsia="en-US"/>
        </w:rPr>
        <w:t xml:space="preserve">»</w:t>
      </w:r>
      <w:r>
        <w:rPr>
          <w:rFonts w:eastAsia="Calibri"/>
          <w:lang w:eastAsia="en-US"/>
        </w:rPr>
        <w:t xml:space="preserve">,</w:t>
      </w:r>
      <w:r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 xml:space="preserve">зарегистрированному по адресу: г. Москва, ул. Беловежская, 4, в отношении</w:t>
      </w:r>
      <w:r>
        <w:rPr>
          <w:rFonts w:eastAsia="Calibri"/>
          <w:lang w:eastAsia="en-US"/>
        </w:rPr>
        <w:t xml:space="preserve"> следующего перечня персональных данных р</w:t>
      </w:r>
      <w:r>
        <w:rPr>
          <w:rFonts w:eastAsia="Calibri"/>
          <w:lang w:eastAsia="en-US"/>
        </w:rPr>
        <w:t xml:space="preserve">уководителей и собственников (участников, учредителей, акционеров), в том числе конечных бенефициаров, участника закупки (потенциального контрагента)/контрагента/третьего лица, привлеченного контрагентом к исполнению своих обязательств по договору: фамилия</w:t>
      </w:r>
      <w:r>
        <w:rPr>
          <w:rFonts w:eastAsia="Calibri"/>
          <w:lang w:eastAsia="en-US"/>
        </w:rPr>
        <w:t xml:space="preserve"> имя отчество, серия </w:t>
      </w:r>
      <w:r>
        <w:rPr>
          <w:rFonts w:eastAsia="Calibri"/>
          <w:lang w:eastAsia="en-US"/>
        </w:rPr>
        <w:t xml:space="preserve">и номер документа, удостоверяющего личность, сведения о дате выдачи указанного документа и выдавшем его органе, адрес регистрации, ИНН – на совершение действий, предусмотренных п. 3 ст. 3 Федерального закона от 27.07.2006 № 152-ФЗ «О персональных данных», </w:t>
      </w:r>
      <w:r>
        <w:rPr>
          <w:rFonts w:eastAsia="Calibri"/>
          <w:lang w:eastAsia="en-US"/>
        </w:rPr>
        <w:t xml:space="preserve">в том числе с использованием информационных систем, а также на представление указанной инфо</w:t>
      </w:r>
      <w:r>
        <w:rPr>
          <w:rFonts w:eastAsia="Calibri"/>
          <w:lang w:eastAsia="en-US"/>
        </w:rPr>
        <w:t xml:space="preserve">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бенефициаров.**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ind w:firstLine="709"/>
        <w:spacing w:after="0"/>
        <w:widowControl w:val="off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Цель обработки персональных данных: </w:t>
      </w:r>
      <w:r>
        <w:rPr>
          <w:rFonts w:eastAsia="Calibri"/>
          <w:lang w:eastAsia="en-US"/>
        </w:rPr>
        <w:t xml:space="preserve">обеспечение соблюдения требований законодательства Российской Федерации, в том числе статьи 13.3 Федерального закона от 25.12.2008 № 273-ФЗ «О противодействии коррупции», </w:t>
      </w:r>
      <w:r>
        <w:rPr>
          <w:rFonts w:eastAsia="Calibri"/>
          <w:lang w:eastAsia="en-US"/>
        </w:rPr>
        <w:t xml:space="preserve">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</w:t>
      </w:r>
      <w:r>
        <w:rPr>
          <w:rFonts w:eastAsia="Calibri"/>
          <w:lang w:eastAsia="en-US"/>
        </w:rPr>
        <w:t xml:space="preserve">ол от 10.07.2012 № 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ind w:firstLine="709"/>
        <w:spacing w:after="0"/>
        <w:widowControl w:val="off"/>
        <w:rPr>
          <w:rFonts w:eastAsia="Calibri"/>
          <w:color w:val="000000"/>
          <w:lang w:eastAsia="en-US"/>
        </w:rPr>
      </w:pPr>
      <w:r>
        <w:rPr>
          <w:rFonts w:eastAsia="Calibri"/>
          <w:lang w:eastAsia="en-US"/>
        </w:rPr>
        <w:t xml:space="preserve">Срок, в течение которого действует настоящее согласие: со дня его подписания до момента фактического достижения цели обработки</w:t>
      </w:r>
      <w:r>
        <w:rPr>
          <w:rFonts w:eastAsia="Calibri"/>
          <w:color w:val="000000"/>
          <w:lang w:eastAsia="en-US"/>
        </w:rPr>
        <w:t xml:space="preserve">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данных.</w:t>
      </w:r>
      <w:r>
        <w:rPr>
          <w:rFonts w:eastAsia="Calibri"/>
          <w:color w:val="000000"/>
          <w:lang w:eastAsia="en-US"/>
        </w:rPr>
      </w:r>
      <w:r>
        <w:rPr>
          <w:rFonts w:eastAsia="Calibri"/>
          <w:color w:val="000000"/>
          <w:lang w:eastAsia="en-US"/>
        </w:rPr>
      </w:r>
    </w:p>
    <w:p>
      <w:pPr>
        <w:ind w:firstLine="709"/>
        <w:spacing w:after="0"/>
        <w:widowControl w:val="off"/>
        <w:rPr>
          <w:rFonts w:eastAsia="Calibri"/>
          <w:color w:val="000000"/>
          <w:lang w:eastAsia="en-US"/>
        </w:rPr>
      </w:pPr>
      <w:r>
        <w:rPr>
          <w:rFonts w:eastAsia="Calibri"/>
          <w:color w:val="000000"/>
          <w:lang w:eastAsia="en-US"/>
        </w:rPr>
      </w:r>
      <w:r>
        <w:rPr>
          <w:rFonts w:eastAsia="Calibri"/>
          <w:color w:val="000000"/>
          <w:lang w:eastAsia="en-US"/>
        </w:rPr>
      </w:r>
      <w:r>
        <w:rPr>
          <w:rFonts w:eastAsia="Calibri"/>
          <w:color w:val="000000"/>
          <w:lang w:eastAsia="en-US"/>
        </w:rPr>
      </w:r>
    </w:p>
    <w:p>
      <w:pPr>
        <w:spacing w:after="0"/>
        <w:widowControl w:val="off"/>
        <w:rPr>
          <w:rFonts w:eastAsia="Calibri"/>
          <w:color w:val="000000"/>
          <w:lang w:eastAsia="en-US"/>
        </w:rPr>
      </w:pPr>
      <w:r>
        <w:rPr>
          <w:rFonts w:eastAsia="Calibri"/>
          <w:color w:val="000000"/>
          <w:lang w:eastAsia="en-US"/>
        </w:rPr>
        <w:t xml:space="preserve">____________________________                         ___________________________</w:t>
      </w:r>
      <w:r>
        <w:rPr>
          <w:rFonts w:eastAsia="Calibri"/>
          <w:color w:val="000000"/>
          <w:lang w:eastAsia="en-US"/>
        </w:rPr>
      </w:r>
      <w:r>
        <w:rPr>
          <w:rFonts w:eastAsia="Calibri"/>
          <w:color w:val="000000"/>
          <w:lang w:eastAsia="en-US"/>
        </w:rPr>
      </w:r>
    </w:p>
    <w:p>
      <w:pPr>
        <w:contextualSpacing/>
        <w:spacing w:after="0"/>
        <w:widowControl w:val="off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(Подпись субъекта персональных данных/ </w:t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  <w:t xml:space="preserve"> (Ф.И.О. и должность подписавшего)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contextualSpacing/>
        <w:spacing w:after="0"/>
        <w:widowControl w:val="off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уполномоченного представителя)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spacing w:after="0"/>
        <w:widowControl w:val="off"/>
        <w:rPr>
          <w:rFonts w:eastAsia="Calibri"/>
          <w:b/>
          <w:bCs/>
          <w:lang w:eastAsia="en-US"/>
        </w:rPr>
      </w:pPr>
      <w:r>
        <w:rPr>
          <w:rFonts w:eastAsia="Calibri"/>
          <w:b/>
          <w:bCs/>
          <w:lang w:eastAsia="en-US"/>
        </w:rPr>
        <w:t xml:space="preserve">М.П.</w:t>
      </w:r>
      <w:r>
        <w:rPr>
          <w:rFonts w:eastAsia="Calibri"/>
          <w:b/>
          <w:bCs/>
          <w:lang w:eastAsia="en-US"/>
        </w:rPr>
      </w:r>
      <w:r>
        <w:rPr>
          <w:rFonts w:eastAsia="Calibri"/>
          <w:b/>
          <w:bCs/>
          <w:lang w:eastAsia="en-US"/>
        </w:rPr>
      </w:r>
    </w:p>
    <w:p>
      <w:pPr>
        <w:ind w:firstLine="709"/>
        <w:widowControl w:val="off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rPr>
          <w:b/>
        </w:rPr>
      </w:pPr>
      <w:r>
        <w:rPr>
          <w:b/>
        </w:rPr>
        <w:t xml:space="preserve">Инструкции по заполнению:</w:t>
      </w:r>
      <w:r>
        <w:rPr>
          <w:b/>
        </w:rPr>
      </w:r>
      <w:r>
        <w:rPr>
          <w:b/>
        </w:rPr>
      </w:r>
    </w:p>
    <w:p>
      <w:pPr>
        <w:pStyle w:val="1311"/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Согласие на обработку персональных данных в отношении всех лиц, указанных в форме информации о собственниках и в том числе</w:t>
      </w:r>
      <w:r>
        <w:rPr>
          <w:sz w:val="22"/>
          <w:szCs w:val="22"/>
        </w:rPr>
        <w:t xml:space="preserve"> рекомендуется</w:t>
      </w:r>
      <w:r>
        <w:rPr>
          <w:sz w:val="22"/>
          <w:szCs w:val="22"/>
        </w:rPr>
        <w:t xml:space="preserve"> предоставить заверенные копии документов, на которые Участник сослался в гр. </w:t>
      </w:r>
      <w:r>
        <w:rPr>
          <w:sz w:val="22"/>
          <w:szCs w:val="22"/>
        </w:rPr>
        <w:t xml:space="preserve">«</w:t>
      </w:r>
      <w:r>
        <w:rPr>
          <w:sz w:val="22"/>
          <w:szCs w:val="22"/>
        </w:rPr>
        <w:t xml:space="preserve">Информация о подтверждающих документах (наименование, реквизиты и т.д.)</w:t>
      </w:r>
      <w:r>
        <w:rPr>
          <w:sz w:val="22"/>
          <w:szCs w:val="22"/>
        </w:rPr>
        <w:t xml:space="preserve">»</w:t>
      </w:r>
      <w:r>
        <w:rPr>
          <w:sz w:val="22"/>
          <w:szCs w:val="22"/>
        </w:rPr>
        <w:t xml:space="preserve"> формы </w:t>
      </w:r>
      <w:r>
        <w:rPr>
          <w:sz w:val="22"/>
          <w:szCs w:val="22"/>
        </w:rPr>
        <w:t xml:space="preserve">«Справка (информация) о собственниках Участника закупки (включая конечных бенефициаров)».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1311"/>
        <w:ind w:left="0"/>
        <w:jc w:val="both"/>
        <w:widowControl w:val="off"/>
        <w:rPr>
          <w:b/>
          <w:sz w:val="22"/>
          <w:szCs w:val="22"/>
        </w:rPr>
      </w:pPr>
      <w:r>
        <w:rPr>
          <w:sz w:val="22"/>
          <w:szCs w:val="22"/>
        </w:rPr>
        <w:t xml:space="preserve">* Указывается фамилия, имя, отчество, адрес су</w:t>
      </w:r>
      <w:r>
        <w:rPr>
          <w:sz w:val="22"/>
          <w:szCs w:val="22"/>
        </w:rPr>
        <w:t xml:space="preserve">бъекта персональных данных, номер основного документа, удостоверяющего 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удо</w:t>
      </w:r>
      <w:r>
        <w:rPr>
          <w:sz w:val="22"/>
          <w:szCs w:val="22"/>
        </w:rPr>
        <w:t xml:space="preserve">стоверяющего 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 </w:t>
      </w:r>
      <w:r>
        <w:rPr>
          <w:b/>
          <w:sz w:val="22"/>
          <w:szCs w:val="22"/>
        </w:rPr>
      </w:r>
      <w:r>
        <w:rPr>
          <w:b/>
          <w:sz w:val="22"/>
          <w:szCs w:val="22"/>
        </w:rPr>
      </w:r>
    </w:p>
    <w:p>
      <w:pPr>
        <w:pStyle w:val="1311"/>
        <w:ind w:left="0"/>
        <w:jc w:val="both"/>
        <w:widowControl w:val="off"/>
        <w:rPr>
          <w:sz w:val="22"/>
          <w:szCs w:val="22"/>
        </w:rPr>
      </w:pPr>
      <w:r>
        <w:rPr>
          <w:sz w:val="22"/>
          <w:szCs w:val="22"/>
        </w:rPr>
        <w:t xml:space="preserve">** При заключении договоров </w:t>
      </w:r>
      <w:r>
        <w:rPr>
          <w:sz w:val="22"/>
          <w:szCs w:val="22"/>
        </w:rPr>
        <w:t xml:space="preserve">ПАО «Россети»</w:t>
      </w:r>
      <w:r>
        <w:rPr>
          <w:sz w:val="22"/>
          <w:szCs w:val="22"/>
        </w:rPr>
        <w:t xml:space="preserve">, ДЗО </w:t>
      </w:r>
      <w:r>
        <w:rPr>
          <w:sz w:val="22"/>
          <w:szCs w:val="22"/>
        </w:rPr>
        <w:t xml:space="preserve">ПАО «Россети»</w:t>
      </w:r>
      <w:r>
        <w:rPr>
          <w:sz w:val="22"/>
          <w:szCs w:val="22"/>
        </w:rPr>
        <w:t xml:space="preserve"> обязаны получить согласие на обработку персональных данных участника закупки (потенциального контрагента/ контрагента/ планируемых к привлечению </w:t>
      </w:r>
      <w:r>
        <w:rPr>
          <w:sz w:val="22"/>
          <w:szCs w:val="22"/>
        </w:rPr>
        <w:t xml:space="preserve">субконтрагентов и их руководителей, собственников (участников, учредителей, акционеров), в том числе конечных бенефициаров (фамилия, имя, отчество; серия и номер документа, удостоверяющего личность; ИНН (участников, учредителей, акционеров, руководителей).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r>
        <w:rPr>
          <w:sz w:val="22"/>
          <w:szCs w:val="22"/>
        </w:rPr>
        <w:t xml:space="preserve">*** Заполнение участником закупки (потенциальным контрагент</w:t>
      </w:r>
      <w:r>
        <w:rPr>
          <w:sz w:val="22"/>
          <w:szCs w:val="22"/>
        </w:rPr>
        <w:t xml:space="preserve">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 бенефициарах исключает ответственность ПАО «Россети», ПАО «</w:t>
      </w:r>
      <w:r>
        <w:rPr>
          <w:sz w:val="22"/>
          <w:szCs w:val="22"/>
        </w:rPr>
        <w:t xml:space="preserve">Россети</w:t>
      </w:r>
      <w:r>
        <w:rPr>
          <w:sz w:val="22"/>
          <w:szCs w:val="22"/>
        </w:rPr>
        <w:t xml:space="preserve"> Северо-</w:t>
      </w:r>
      <w:r>
        <w:rPr>
          <w:sz w:val="22"/>
          <w:szCs w:val="22"/>
        </w:rPr>
        <w:t xml:space="preserve">Запад</w:t>
      </w:r>
      <w:r>
        <w:rPr>
          <w:sz w:val="22"/>
          <w:szCs w:val="22"/>
        </w:rPr>
        <w:t xml:space="preserve">», ДЗО ПАО «</w:t>
      </w:r>
      <w:r>
        <w:rPr>
          <w:sz w:val="22"/>
          <w:szCs w:val="22"/>
        </w:rPr>
        <w:t xml:space="preserve">Россети</w:t>
      </w:r>
      <w:r>
        <w:rPr>
          <w:sz w:val="22"/>
          <w:szCs w:val="22"/>
        </w:rPr>
        <w:t xml:space="preserve"> Северо-</w:t>
      </w:r>
      <w:r>
        <w:rPr>
          <w:sz w:val="22"/>
          <w:szCs w:val="22"/>
        </w:rPr>
        <w:t xml:space="preserve">Запад</w:t>
      </w:r>
      <w:r>
        <w:rPr>
          <w:sz w:val="22"/>
          <w:szCs w:val="22"/>
        </w:rPr>
        <w:t xml:space="preserve">» перед руководител</w:t>
      </w:r>
      <w:r>
        <w:rPr>
          <w:sz w:val="22"/>
          <w:szCs w:val="22"/>
        </w:rPr>
        <w:t xml:space="preserve">ем, собственником (участником, учредителем, акционером), а также бенефициаром участника закупки / контрагента / их субконтрагентов за предоставление Обществу данных о руководителе, собственниках (участниках, учредителях, акционерах), в том числе бенефициар</w:t>
      </w:r>
      <w:r>
        <w:rPr>
          <w:sz w:val="22"/>
          <w:szCs w:val="22"/>
        </w:rPr>
        <w:t xml:space="preserve">ах и бенефициарах своего субконтрагента, и предполагает, что участник закупки (потенциальный контрагент) / контрагент получил у руководителя, своих бенефициаров и бенефициаров своих субконтрагентов согласие на представление (обработку) ПАО «Россети», ПАО «</w:t>
      </w:r>
      <w:r>
        <w:rPr>
          <w:sz w:val="22"/>
          <w:szCs w:val="22"/>
        </w:rPr>
        <w:t xml:space="preserve">Россети</w:t>
      </w:r>
      <w:r>
        <w:rPr>
          <w:sz w:val="22"/>
          <w:szCs w:val="22"/>
        </w:rPr>
        <w:t xml:space="preserve"> Северо-</w:t>
      </w:r>
      <w:r>
        <w:rPr>
          <w:sz w:val="22"/>
          <w:szCs w:val="22"/>
        </w:rPr>
        <w:t xml:space="preserve">Запад</w:t>
      </w:r>
      <w:r>
        <w:rPr>
          <w:sz w:val="22"/>
          <w:szCs w:val="22"/>
        </w:rPr>
        <w:t xml:space="preserve">», ДЗО ПАО «</w:t>
      </w:r>
      <w:r>
        <w:rPr>
          <w:sz w:val="22"/>
          <w:szCs w:val="22"/>
        </w:rPr>
        <w:t xml:space="preserve">Россети</w:t>
      </w:r>
      <w:r>
        <w:rPr>
          <w:sz w:val="22"/>
          <w:szCs w:val="22"/>
        </w:rPr>
        <w:t xml:space="preserve"> Северо-</w:t>
      </w:r>
      <w:r>
        <w:rPr>
          <w:sz w:val="22"/>
          <w:szCs w:val="22"/>
        </w:rPr>
        <w:t xml:space="preserve">Запад</w:t>
      </w:r>
      <w:r>
        <w:rPr>
          <w:sz w:val="22"/>
          <w:szCs w:val="22"/>
        </w:rPr>
        <w:t xml:space="preserve">» и в уполномоченные государственные органы указанных сведений</w:t>
      </w:r>
      <w:r>
        <w:rPr>
          <w:sz w:val="22"/>
          <w:szCs w:val="22"/>
        </w:rPr>
        <w:t xml:space="preserve">.</w:t>
      </w:r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pPr>
        <w:rPr>
          <w:lang w:eastAsia="en-US"/>
        </w:rPr>
      </w:pPr>
      <w:r>
        <w:rPr>
          <w:lang w:eastAsia="en-US"/>
        </w:rPr>
      </w:r>
      <w:r>
        <w:rPr>
          <w:lang w:eastAsia="en-US"/>
        </w:rPr>
      </w:r>
      <w:r>
        <w:rPr>
          <w:lang w:eastAsia="en-US"/>
        </w:rPr>
      </w:r>
    </w:p>
    <w:p>
      <w:pPr>
        <w:rPr>
          <w:lang w:eastAsia="en-US"/>
        </w:rPr>
      </w:pPr>
      <w:r>
        <w:rPr>
          <w:lang w:eastAsia="en-US"/>
        </w:rPr>
      </w:r>
      <w:r>
        <w:rPr>
          <w:lang w:eastAsia="en-US"/>
        </w:rPr>
      </w:r>
      <w:r>
        <w:rPr>
          <w:lang w:eastAsia="en-US"/>
        </w:rPr>
      </w:r>
    </w:p>
    <w:p>
      <w:pPr>
        <w:rPr>
          <w:lang w:eastAsia="en-US"/>
        </w:rPr>
      </w:pPr>
      <w:r>
        <w:rPr>
          <w:lang w:eastAsia="en-US"/>
        </w:rPr>
      </w:r>
      <w:r>
        <w:rPr>
          <w:lang w:eastAsia="en-US"/>
        </w:rPr>
      </w:r>
      <w:r>
        <w:rPr>
          <w:lang w:eastAsia="en-US"/>
        </w:rPr>
      </w:r>
    </w:p>
    <w:p>
      <w:pPr>
        <w:jc w:val="left"/>
        <w:spacing w:after="0"/>
        <w:rPr>
          <w:lang w:eastAsia="en-US"/>
        </w:rPr>
      </w:pPr>
      <w:r>
        <w:rPr>
          <w:lang w:eastAsia="en-US"/>
        </w:rPr>
        <w:br w:type="page" w:clear="all"/>
      </w:r>
      <w:r>
        <w:rPr>
          <w:lang w:eastAsia="en-US"/>
        </w:rPr>
      </w:r>
      <w:r>
        <w:rPr>
          <w:lang w:eastAsia="en-US"/>
        </w:rPr>
      </w:r>
    </w:p>
    <w:p>
      <w:pPr>
        <w:pStyle w:val="1149"/>
        <w:ind w:left="0" w:firstLine="0"/>
        <w:pageBreakBefore/>
        <w:spacing w:after="0"/>
        <w:tabs>
          <w:tab w:val="clear" w:pos="576" w:leader="none"/>
        </w:tabs>
        <w:rPr>
          <w:sz w:val="24"/>
          <w:szCs w:val="24"/>
        </w:rPr>
      </w:pPr>
      <w:r/>
      <w:bookmarkStart w:id="369" w:name="_Toc54"/>
      <w:r/>
      <w:bookmarkStart w:id="278" w:name="_ФОРМА_12._Справка"/>
      <w:r/>
      <w:bookmarkStart w:id="279" w:name="_ФОРМА_13._Антикоррупционные"/>
      <w:r/>
      <w:bookmarkEnd w:id="278"/>
      <w:r/>
      <w:bookmarkEnd w:id="279"/>
      <w:r>
        <w:rPr>
          <w:sz w:val="24"/>
          <w:szCs w:val="24"/>
        </w:rPr>
        <w:t xml:space="preserve">ФОРМА  </w:t>
      </w:r>
      <w:r>
        <w:rPr>
          <w:sz w:val="24"/>
          <w:szCs w:val="24"/>
        </w:rPr>
        <w:t xml:space="preserve">Антикоррупционные обязательства</w:t>
      </w:r>
      <w:r>
        <w:rPr>
          <w:sz w:val="24"/>
          <w:szCs w:val="24"/>
        </w:rPr>
      </w:r>
      <w:bookmarkEnd w:id="369"/>
      <w:r>
        <w:rPr>
          <w:sz w:val="24"/>
          <w:szCs w:val="24"/>
        </w:rPr>
      </w:r>
      <w:r>
        <w:rPr>
          <w:sz w:val="24"/>
          <w:szCs w:val="24"/>
        </w:rPr>
      </w:r>
    </w:p>
    <w:p>
      <w:r/>
      <w:r/>
    </w:p>
    <w:p>
      <w:pPr>
        <w:jc w:val="center"/>
        <w:rPr>
          <w:b/>
          <w:bCs/>
          <w:highlight w:val="none"/>
        </w:rPr>
      </w:pPr>
      <w:r>
        <w:rPr>
          <w:b/>
          <w:bCs/>
        </w:rPr>
        <w:t xml:space="preserve">Антикоррупционные обязательства</w:t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jc w:val="center"/>
      </w:pPr>
      <w:r>
        <w:rPr>
          <w:b/>
          <w:bCs/>
          <w:highlight w:val="none"/>
        </w:rPr>
      </w:r>
      <w:r>
        <w:rPr>
          <w:b/>
          <w:bCs/>
          <w:highlight w:val="none"/>
        </w:rPr>
      </w:r>
      <w:r/>
    </w:p>
    <w:p>
      <w:pPr>
        <w:jc w:val="left"/>
        <w:spacing w:after="0"/>
      </w:pPr>
      <w:r>
        <w:t xml:space="preserve">Наименование </w:t>
      </w:r>
      <w:r>
        <w:t xml:space="preserve">закупки</w:t>
      </w:r>
      <w:r>
        <w:t xml:space="preserve"> _______________________________________ Лот № ___</w:t>
      </w:r>
      <w:r>
        <w:t xml:space="preserve">______</w:t>
      </w:r>
      <w:r/>
    </w:p>
    <w:p>
      <w:pPr>
        <w:spacing w:after="0"/>
      </w:pPr>
      <w:r>
        <w:t xml:space="preserve">Номер извещения о проведении закупки в ЕИС: _________________________________</w:t>
      </w:r>
      <w:r/>
    </w:p>
    <w:p>
      <w:pPr>
        <w:spacing w:after="0"/>
      </w:pPr>
      <w:r>
        <w:t xml:space="preserve">Наименование участника закупки:</w:t>
      </w:r>
      <w:r>
        <w:t xml:space="preserve"> </w:t>
      </w:r>
      <w:r>
        <w:t xml:space="preserve">_______________________________________</w:t>
      </w:r>
      <w:r>
        <w:t xml:space="preserve">______</w:t>
      </w:r>
      <w:r/>
    </w:p>
    <w:p>
      <w:r>
        <w:t xml:space="preserve">Юридический адрес (место нахождения) участника закупки:</w:t>
      </w:r>
      <w:r>
        <w:t xml:space="preserve"> </w:t>
      </w:r>
      <w:r>
        <w:t xml:space="preserve">_______________________</w:t>
      </w:r>
      <w:r/>
    </w:p>
    <w:p>
      <w:r/>
      <w:r/>
    </w:p>
    <w:p>
      <w:r>
        <w:t xml:space="preserve">Антикоррупционные обязательства разработаны во исполнение требований ст. 13.3 Федерального закона от 25.12.2008 № 273-ФЗ «О противодействии коррупции», предусматривающих обязанность ПАО «</w:t>
      </w:r>
      <w:r>
        <w:t xml:space="preserve">Россети</w:t>
      </w:r>
      <w:r>
        <w:t xml:space="preserve"> Северо-</w:t>
      </w:r>
      <w:r>
        <w:t xml:space="preserve">Запад</w:t>
      </w:r>
      <w:r>
        <w:t xml:space="preserve">»» по разработке и принятию мер по предупреждению и противодействию коррупции.</w:t>
      </w:r>
      <w:r/>
    </w:p>
    <w:p>
      <w:pPr>
        <w:numPr>
          <w:ilvl w:val="0"/>
          <w:numId w:val="22"/>
        </w:numPr>
        <w:ind w:left="0" w:firstLine="709"/>
        <w:spacing w:after="0"/>
        <w:tabs>
          <w:tab w:val="num" w:pos="0" w:leader="none"/>
        </w:tabs>
      </w:pPr>
      <w:r>
        <w:t xml:space="preserve">Потенциальный участник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привлеченный в качестве участника ________________ (наименование зак</w:t>
      </w:r>
      <w:r>
        <w:t xml:space="preserve">упочных процедур) для нужд ПАО</w:t>
      </w:r>
      <w:r>
        <w:t xml:space="preserve"> «</w:t>
      </w:r>
      <w:r>
        <w:t xml:space="preserve">Россети</w:t>
      </w:r>
      <w:r>
        <w:t xml:space="preserve"> Северо-</w:t>
      </w:r>
      <w:r>
        <w:t xml:space="preserve">Запад</w:t>
      </w:r>
      <w:r>
        <w:t xml:space="preserve">», именуемое в дальнейшем «Заказчик», после ознакомления с закупочной документацией гарантирует и заверяет Заказчика/Организатора закупки, что он:</w:t>
      </w:r>
      <w:r/>
    </w:p>
    <w:p>
      <w:pPr>
        <w:contextualSpacing/>
        <w:ind w:firstLine="709"/>
        <w:spacing w:after="0"/>
        <w:widowControl w:val="off"/>
      </w:pPr>
      <w:r>
        <w:t xml:space="preserve">1.1</w:t>
      </w:r>
      <w:r>
        <w:tab/>
        <w:t xml:space="preserve">Ознакомлен с Антикоррупционной хартией российского бизнеса и Антикоррупционной политикой ПАО «Россети» и его ДЗО, представленными в разделе «Антикоррупционная политика» на официальном сайте ПАО «</w:t>
      </w:r>
      <w:r>
        <w:t xml:space="preserve">Россети</w:t>
      </w:r>
      <w:r>
        <w:t xml:space="preserve"> Северо-</w:t>
      </w:r>
      <w:r>
        <w:t xml:space="preserve">Запад</w:t>
      </w:r>
      <w:r>
        <w:t xml:space="preserve">»)  по адресу в сети Интернет http://www.mrsksevzap.ru/aboutcorruptionpolicy (далее - Антикоррупционная политика).</w:t>
      </w:r>
      <w:r/>
    </w:p>
    <w:p>
      <w:pPr>
        <w:numPr>
          <w:ilvl w:val="1"/>
          <w:numId w:val="26"/>
        </w:numPr>
        <w:contextualSpacing/>
        <w:ind w:left="0" w:firstLine="709"/>
        <w:spacing w:after="0"/>
        <w:widowControl w:val="off"/>
      </w:pPr>
      <w:r>
        <w:t xml:space="preserve">Согласен с принимаемыми в ПАО «</w:t>
      </w:r>
      <w:r>
        <w:t xml:space="preserve">Россети</w:t>
      </w:r>
      <w:r>
        <w:t xml:space="preserve"> Северо-</w:t>
      </w:r>
      <w:r>
        <w:t xml:space="preserve">Запад</w:t>
      </w:r>
      <w:r>
        <w:t xml:space="preserve">» мерами, н</w:t>
      </w:r>
      <w:r>
        <w:t xml:space="preserve">аправленными на предупреждение и противодействие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</w:t>
      </w:r>
      <w:r>
        <w:t xml:space="preserve"> числе, конечных (то есть, до данных о физических лицах), а также информацию об исполнительных органах с приложением подтверждающих документов. В их числе: выписка из реестра акционеров, заверенная подписью уполномоченного лица и печатью (срок действия вып</w:t>
      </w:r>
      <w:r>
        <w:t xml:space="preserve">иски не должен превышать 60 дней), копия решения о назначении руководителя, заверенная подписью уполномоченного лица и печатью. Надлежащим образом заверенный перевод на русский язык документов о государственной регистрации юридического лица или физического</w:t>
      </w:r>
      <w:r>
        <w:t xml:space="preserve"> лица в качестве индивидуального предпринимателя в соответствии с законодательством соответствующего государства (для иностранных лиц), полученных не ранее чем за 60 дней до срока окончания приема предложений, справка о кадровых ресурсах, информацию о нали</w:t>
      </w:r>
      <w:r>
        <w:t xml:space="preserve">чии аффилированных и иных связей, пред/конфликта интересов с работниками Заказчика/Организатора закупки (либо их родственниками), а так же с иными участниками закупочной процедуры и/или их бенефициарами, согласие на обработку и передачу персональных данных</w:t>
      </w:r>
      <w:r>
        <w:t xml:space="preserve">.</w:t>
      </w:r>
      <w:r/>
    </w:p>
    <w:p>
      <w:pPr>
        <w:numPr>
          <w:ilvl w:val="0"/>
          <w:numId w:val="22"/>
        </w:numPr>
        <w:ind w:left="0" w:firstLine="709"/>
        <w:spacing w:after="0"/>
      </w:pPr>
      <w:r>
        <w:t xml:space="preserve">Участник, а также его аффилированные лиц</w:t>
      </w:r>
      <w:r>
        <w:t xml:space="preserve">а, бенефициары, работники, посредники и/или иные лица, действующие в интересах работников Заказчика/Организатора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</w:t>
      </w:r>
      <w:r>
        <w:rPr>
          <w:bCs/>
        </w:rPr>
        <w:t xml:space="preserve">Запрещённые действия</w:t>
      </w:r>
      <w:r>
        <w:t xml:space="preserve">»).</w:t>
      </w:r>
      <w:r/>
    </w:p>
    <w:p>
      <w:pPr>
        <w:ind w:firstLine="709"/>
      </w:pPr>
      <w:r>
        <w:t xml:space="preserve">2.1. К Запрещ</w:t>
      </w:r>
      <w:r>
        <w:rPr>
          <w:bCs/>
        </w:rPr>
        <w:t xml:space="preserve">ё</w:t>
      </w:r>
      <w:r>
        <w:t xml:space="preserve">нным действиям, способным вызвать коррупционные риски при осуществлении закупочной деятельности, относятся:</w:t>
      </w:r>
      <w:r/>
    </w:p>
    <w:p>
      <w:pPr>
        <w:numPr>
          <w:ilvl w:val="0"/>
          <w:numId w:val="25"/>
        </w:numPr>
        <w:ind w:left="0" w:firstLine="709"/>
        <w:spacing w:after="0"/>
      </w:pPr>
      <w:r>
        <w:t xml:space="preserve">предоставление неполных, заведомо ложных, недостоверных сведений о структуре собственников;</w:t>
      </w:r>
      <w:r/>
    </w:p>
    <w:p>
      <w:pPr>
        <w:numPr>
          <w:ilvl w:val="0"/>
          <w:numId w:val="25"/>
        </w:numPr>
        <w:ind w:left="0" w:firstLine="709"/>
        <w:spacing w:after="0"/>
      </w:pPr>
      <w:r>
        <w:t xml:space="preserve">непредставление информации о наличии аффилированных и иных связей, пред/конфликта интересов с работниками Заказчика/Организатора закупки (либо их родственниками), а так же с иными участниками закупочной процедуры/их бенефициарами;</w:t>
      </w:r>
      <w:r/>
    </w:p>
    <w:p>
      <w:pPr>
        <w:numPr>
          <w:ilvl w:val="0"/>
          <w:numId w:val="23"/>
        </w:numPr>
        <w:ind w:left="0" w:firstLine="709"/>
        <w:spacing w:after="0"/>
      </w:pPr>
      <w:r>
        <w:t xml:space="preserve">освобождение, предложение или обещание освободить от исполнения обязательства или обязанности;</w:t>
      </w:r>
      <w:r/>
    </w:p>
    <w:p>
      <w:pPr>
        <w:numPr>
          <w:ilvl w:val="0"/>
          <w:numId w:val="23"/>
        </w:numPr>
        <w:ind w:left="0" w:firstLine="709"/>
        <w:spacing w:after="0"/>
      </w:pPr>
      <w:r>
        <w:t xml:space="preserve">оказание, предложение или обещание оказать услуги;</w:t>
      </w:r>
      <w:r/>
    </w:p>
    <w:p>
      <w:pPr>
        <w:numPr>
          <w:ilvl w:val="0"/>
          <w:numId w:val="23"/>
        </w:numPr>
        <w:ind w:left="0" w:firstLine="709"/>
        <w:spacing w:after="0"/>
      </w:pPr>
      <w:r>
        <w:t xml:space="preserve"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  <w:r/>
    </w:p>
    <w:p>
      <w:pPr>
        <w:numPr>
          <w:ilvl w:val="0"/>
          <w:numId w:val="23"/>
        </w:numPr>
        <w:ind w:left="0" w:firstLine="709"/>
        <w:spacing w:after="0"/>
      </w:pPr>
      <w:r>
        <w:t xml:space="preserve">предоставление, предложение или обещание предоставить иные выгоды; </w:t>
      </w:r>
      <w:r/>
    </w:p>
    <w:p>
      <w:pPr>
        <w:numPr>
          <w:ilvl w:val="0"/>
          <w:numId w:val="23"/>
        </w:numPr>
        <w:ind w:left="0" w:firstLine="709"/>
        <w:spacing w:after="0"/>
      </w:pPr>
      <w:r>
        <w:t xml:space="preserve">действия, квалифицируемые российским законодательством как дача или получение взятки, коммерческий подкуп, незаконное</w:t>
      </w:r>
      <w:r>
        <w:t xml:space="preserve"> вознаграждение от имени юридического лица, злоупотребление полномочиями, а также иные действия в нарушение требований применимого законодательства, а также международных актов о противодействии легализации (отмыванию) доходов, полученных преступным путем.</w:t>
      </w:r>
      <w:r/>
    </w:p>
    <w:p>
      <w:pPr>
        <w:numPr>
          <w:ilvl w:val="1"/>
          <w:numId w:val="24"/>
        </w:numPr>
        <w:ind w:left="0" w:firstLine="709"/>
        <w:spacing w:after="0"/>
      </w:pPr>
      <w:r>
        <w:rPr>
          <w:lang w:val="en-US"/>
        </w:rPr>
        <w:t xml:space="preserve">C</w:t>
      </w:r>
      <w:r>
        <w:t xml:space="preserve">тимулирование каким-либо образом работников Заказчика/Организатора закупки, в том числе путем предоставления денежных сумм, </w:t>
      </w:r>
      <w:r>
        <w:t xml:space="preserve">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  <w:r/>
    </w:p>
    <w:p>
      <w:pPr>
        <w:numPr>
          <w:ilvl w:val="1"/>
          <w:numId w:val="24"/>
        </w:numPr>
        <w:ind w:left="0" w:firstLine="709"/>
        <w:spacing w:after="0"/>
      </w:pPr>
      <w:r>
        <w:t xml:space="preserve">Под действиями работника Заказчика/Организатора закупки, осуществляемыми в пользу Участника, понимаются:</w:t>
      </w:r>
      <w:r/>
    </w:p>
    <w:p>
      <w:pPr>
        <w:numPr>
          <w:ilvl w:val="0"/>
          <w:numId w:val="23"/>
        </w:numPr>
        <w:ind w:left="0" w:firstLine="709"/>
        <w:spacing w:after="0"/>
      </w:pPr>
      <w:r>
        <w:t xml:space="preserve">предоставление неоправданных преимуществ по сравнению с другими участниками закупочных процедур;</w:t>
      </w:r>
      <w:r/>
    </w:p>
    <w:p>
      <w:pPr>
        <w:numPr>
          <w:ilvl w:val="0"/>
          <w:numId w:val="23"/>
        </w:numPr>
        <w:ind w:left="0" w:firstLine="709"/>
        <w:spacing w:after="0"/>
      </w:pPr>
      <w:r>
        <w:t xml:space="preserve">предоставление каких-либо гарантий;</w:t>
      </w:r>
      <w:r/>
    </w:p>
    <w:p>
      <w:pPr>
        <w:numPr>
          <w:ilvl w:val="0"/>
          <w:numId w:val="23"/>
        </w:numPr>
        <w:ind w:left="0" w:firstLine="709"/>
        <w:spacing w:after="0"/>
      </w:pPr>
      <w:r>
        <w:t xml:space="preserve">ускорение существующих процедур;</w:t>
      </w:r>
      <w:r/>
    </w:p>
    <w:p>
      <w:pPr>
        <w:numPr>
          <w:ilvl w:val="0"/>
          <w:numId w:val="23"/>
        </w:numPr>
        <w:ind w:left="0" w:firstLine="709"/>
        <w:spacing w:after="0"/>
      </w:pPr>
      <w:r>
        <w:t xml:space="preserve"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  <w:r/>
    </w:p>
    <w:p>
      <w:pPr>
        <w:numPr>
          <w:ilvl w:val="0"/>
          <w:numId w:val="24"/>
        </w:numPr>
        <w:ind w:left="0" w:firstLine="709"/>
        <w:spacing w:after="0"/>
      </w:pPr>
      <w:r>
        <w:t xml:space="preserve">В случае возникновения у Участника оснований полагать, что произошли или могут произойти Запрещенные действия, указанные в п. 2 Антикоррупционных обязательств, Участник обязуется незам</w:t>
      </w:r>
      <w:r>
        <w:t xml:space="preserve">едлительно уведомить об этом Заказчика в письменной форме. В таком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  <w:r/>
    </w:p>
    <w:p>
      <w:pPr>
        <w:numPr>
          <w:ilvl w:val="0"/>
          <w:numId w:val="24"/>
        </w:numPr>
        <w:ind w:left="0" w:firstLine="709"/>
        <w:spacing w:after="0"/>
      </w:pPr>
      <w:r>
        <w:t xml:space="preserve">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Участника.</w:t>
      </w:r>
      <w:r/>
    </w:p>
    <w:p>
      <w:pPr>
        <w:numPr>
          <w:ilvl w:val="0"/>
          <w:numId w:val="24"/>
        </w:numPr>
        <w:ind w:left="0" w:firstLine="709"/>
        <w:spacing w:after="0"/>
      </w:pPr>
      <w:r>
        <w:t xml:space="preserve">Участник обязуется соблюдать и исполнять требования настоящих Антикоррупционных обязательств на всех этапах закупочных процедур, а Заказчик имеет право требовать соблюдения таких обязанностей. </w:t>
      </w:r>
      <w:r/>
    </w:p>
    <w:p>
      <w:pPr>
        <w:pStyle w:val="1311"/>
        <w:ind w:left="450"/>
      </w:pPr>
      <w:r/>
      <w:r/>
    </w:p>
    <w:p>
      <w:pPr>
        <w:pStyle w:val="1311"/>
        <w:ind w:left="450" w:right="424"/>
        <w:tabs>
          <w:tab w:val="left" w:pos="4678" w:leader="none"/>
        </w:tabs>
      </w:pPr>
      <w:r>
        <w:t xml:space="preserve">____________________________</w:t>
      </w:r>
      <w:r>
        <w:t xml:space="preserve"> </w:t>
      </w:r>
      <w:r>
        <w:tab/>
      </w:r>
      <w:r>
        <w:t xml:space="preserve">[</w:t>
      </w:r>
      <w:r>
        <w:rPr>
          <w:shd w:val="clear" w:color="auto" w:fill="d9d9d9" w:themeFill="background1" w:themeFillShade="D9"/>
        </w:rPr>
        <w:t xml:space="preserve">указать</w:t>
      </w:r>
      <w:r>
        <w:t xml:space="preserve">] ____________________________</w:t>
      </w:r>
      <w:r/>
    </w:p>
    <w:p>
      <w:pPr>
        <w:pStyle w:val="1311"/>
        <w:ind w:left="450" w:right="566"/>
        <w:tabs>
          <w:tab w:val="left" w:pos="5529" w:leader="none"/>
          <w:tab w:val="left" w:pos="7797" w:leader="none"/>
        </w:tabs>
        <w:rPr>
          <w:vertAlign w:val="superscript"/>
        </w:rPr>
      </w:pPr>
      <w:r>
        <w:rPr>
          <w:vertAlign w:val="superscript"/>
        </w:rPr>
        <w:t xml:space="preserve">(подпись, М.П.)  </w:t>
      </w:r>
      <w:r>
        <w:rPr>
          <w:vertAlign w:val="superscript"/>
        </w:rPr>
        <w:tab/>
        <w:t xml:space="preserve">(фамилия, имя, отчество подписавшего, должность)</w:t>
      </w:r>
      <w:r>
        <w:rPr>
          <w:vertAlign w:val="superscript"/>
        </w:rPr>
      </w:r>
      <w:r>
        <w:rPr>
          <w:vertAlign w:val="superscript"/>
        </w:rPr>
      </w:r>
    </w:p>
    <w:p>
      <w:pPr>
        <w:pStyle w:val="1311"/>
        <w:ind w:left="450"/>
      </w:pPr>
      <w:r/>
      <w:r/>
    </w:p>
    <w:p>
      <w:r/>
      <w:r/>
    </w:p>
    <w:p>
      <w:r/>
      <w:r/>
    </w:p>
    <w:p>
      <w:pPr>
        <w:jc w:val="center"/>
        <w:widowControl w:val="off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</w:p>
    <w:p>
      <w:pPr>
        <w:jc w:val="center"/>
        <w:widowControl w:val="off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</w:p>
    <w:p>
      <w:pPr>
        <w:jc w:val="center"/>
        <w:widowControl w:val="off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</w:p>
    <w:p>
      <w:pPr>
        <w:jc w:val="center"/>
        <w:widowControl w:val="off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</w:p>
    <w:p>
      <w:pPr>
        <w:jc w:val="center"/>
        <w:widowControl w:val="off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</w:p>
    <w:p>
      <w:pPr>
        <w:jc w:val="center"/>
        <w:widowControl w:val="off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</w:p>
    <w:p>
      <w:pPr>
        <w:jc w:val="center"/>
        <w:widowControl w:val="off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</w:p>
    <w:p>
      <w:pPr>
        <w:jc w:val="center"/>
        <w:widowControl w:val="off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</w:p>
    <w:p>
      <w:pPr>
        <w:pStyle w:val="1149"/>
        <w:spacing w:line="240" w:lineRule="auto"/>
        <w:rPr>
          <w:rFonts w:eastAsiaTheme="majorEastAsia"/>
          <w:sz w:val="24"/>
          <w:szCs w:val="24"/>
          <w:lang w:eastAsia="en-US"/>
        </w:rPr>
      </w:pPr>
      <w:r/>
      <w:bookmarkStart w:id="370" w:name="_Toc55"/>
      <w:r/>
      <w:bookmarkStart w:id="284" w:name="_ФОРМА_Справка_о_1"/>
      <w:r/>
      <w:bookmarkEnd w:id="284"/>
      <w:r>
        <w:rPr>
          <w:rFonts w:eastAsiaTheme="majorEastAsia"/>
          <w:sz w:val="24"/>
          <w:szCs w:val="24"/>
          <w:lang w:eastAsia="en-US"/>
        </w:rPr>
        <w:t xml:space="preserve">ФОРМА Справка о перечне и объемах исполнения аналогичных договоров</w:t>
      </w:r>
      <w:r>
        <w:rPr>
          <w:rFonts w:eastAsiaTheme="majorEastAsia"/>
          <w:sz w:val="24"/>
          <w:szCs w:val="24"/>
          <w:lang w:eastAsia="en-US"/>
        </w:rPr>
      </w:r>
      <w:bookmarkEnd w:id="370"/>
      <w:r>
        <w:rPr>
          <w:rFonts w:eastAsiaTheme="majorEastAsia"/>
          <w:sz w:val="24"/>
          <w:szCs w:val="24"/>
          <w:lang w:eastAsia="en-US"/>
        </w:rPr>
      </w:r>
      <w:r>
        <w:rPr>
          <w:rFonts w:eastAsiaTheme="majorEastAsia"/>
          <w:sz w:val="24"/>
          <w:szCs w:val="24"/>
          <w:lang w:eastAsia="en-US"/>
        </w:rPr>
      </w:r>
    </w:p>
    <w:p>
      <w:pPr>
        <w:jc w:val="center"/>
        <w:spacing w:after="160" w:line="240" w:lineRule="auto"/>
        <w:rPr>
          <w:rFonts w:eastAsiaTheme="minorHAnsi"/>
          <w:b/>
          <w:sz w:val="22"/>
          <w:szCs w:val="22"/>
          <w:lang w:eastAsia="en-US"/>
        </w:rPr>
      </w:pPr>
      <w:r>
        <w:rPr>
          <w:rFonts w:eastAsiaTheme="minorHAnsi"/>
          <w:b/>
          <w:sz w:val="22"/>
          <w:szCs w:val="22"/>
          <w:lang w:eastAsia="en-US"/>
        </w:rPr>
      </w:r>
      <w:r>
        <w:rPr>
          <w:rFonts w:eastAsiaTheme="minorHAnsi"/>
          <w:b/>
          <w:sz w:val="22"/>
          <w:szCs w:val="22"/>
          <w:lang w:eastAsia="en-US"/>
        </w:rPr>
      </w:r>
      <w:r>
        <w:rPr>
          <w:rFonts w:eastAsiaTheme="minorHAnsi"/>
          <w:b/>
          <w:sz w:val="22"/>
          <w:szCs w:val="22"/>
          <w:lang w:eastAsia="en-US"/>
        </w:rPr>
      </w:r>
    </w:p>
    <w:p>
      <w:pPr>
        <w:jc w:val="center"/>
        <w:spacing w:after="160" w:line="240" w:lineRule="auto"/>
        <w:rPr>
          <w:rFonts w:eastAsiaTheme="minorHAnsi"/>
          <w:b/>
          <w:sz w:val="22"/>
          <w:szCs w:val="22"/>
          <w:lang w:eastAsia="en-US"/>
        </w:rPr>
      </w:pPr>
      <w:r>
        <w:rPr>
          <w:rFonts w:eastAsiaTheme="minorHAnsi"/>
          <w:b/>
          <w:sz w:val="22"/>
          <w:szCs w:val="22"/>
          <w:lang w:eastAsia="en-US"/>
        </w:rPr>
        <w:t xml:space="preserve">Справка о перечне и объемах исполнения аналогичных договоров</w:t>
      </w:r>
      <w:r>
        <w:rPr>
          <w:rFonts w:eastAsiaTheme="minorHAnsi"/>
          <w:b/>
          <w:sz w:val="22"/>
          <w:szCs w:val="22"/>
          <w:lang w:eastAsia="en-US"/>
        </w:rPr>
      </w:r>
      <w:r>
        <w:rPr>
          <w:rFonts w:eastAsiaTheme="minorHAnsi"/>
          <w:b/>
          <w:sz w:val="22"/>
          <w:szCs w:val="22"/>
          <w:lang w:eastAsia="en-US"/>
        </w:rPr>
      </w:r>
    </w:p>
    <w:p>
      <w:pPr>
        <w:jc w:val="center"/>
        <w:spacing w:after="160" w:line="259" w:lineRule="auto"/>
        <w:rPr>
          <w:rFonts w:eastAsiaTheme="minorHAnsi"/>
          <w:sz w:val="22"/>
          <w:szCs w:val="22"/>
          <w:lang w:eastAsia="en-US"/>
        </w:rPr>
      </w:pPr>
      <w:r>
        <w:rPr>
          <w:rFonts w:eastAsiaTheme="minorHAnsi"/>
          <w:sz w:val="22"/>
          <w:szCs w:val="22"/>
          <w:lang w:eastAsia="en-US"/>
        </w:rPr>
      </w:r>
      <w:r>
        <w:rPr>
          <w:rFonts w:eastAsiaTheme="minorHAnsi"/>
          <w:sz w:val="22"/>
          <w:szCs w:val="22"/>
          <w:lang w:eastAsia="en-US"/>
        </w:rPr>
      </w:r>
      <w:r>
        <w:rPr>
          <w:rFonts w:eastAsiaTheme="minorHAnsi"/>
          <w:sz w:val="22"/>
          <w:szCs w:val="22"/>
          <w:lang w:eastAsia="en-US"/>
        </w:rPr>
      </w:r>
    </w:p>
    <w:p>
      <w:pPr>
        <w:jc w:val="left"/>
        <w:spacing w:after="0" w:line="259" w:lineRule="auto"/>
        <w:rPr>
          <w:rFonts w:eastAsiaTheme="minorHAnsi"/>
          <w:sz w:val="22"/>
          <w:szCs w:val="22"/>
          <w:lang w:eastAsia="en-US"/>
        </w:rPr>
      </w:pPr>
      <w:r>
        <w:rPr>
          <w:rFonts w:eastAsiaTheme="minorHAnsi"/>
          <w:sz w:val="22"/>
          <w:szCs w:val="22"/>
          <w:lang w:eastAsia="en-US"/>
        </w:rPr>
        <w:t xml:space="preserve">Наименование закупки _______________________________________ Лот № _________</w:t>
      </w:r>
      <w:r>
        <w:rPr>
          <w:rFonts w:eastAsiaTheme="minorHAnsi"/>
          <w:sz w:val="22"/>
          <w:szCs w:val="22"/>
          <w:lang w:eastAsia="en-US"/>
        </w:rPr>
      </w:r>
      <w:r>
        <w:rPr>
          <w:rFonts w:eastAsiaTheme="minorHAnsi"/>
          <w:sz w:val="22"/>
          <w:szCs w:val="22"/>
          <w:lang w:eastAsia="en-US"/>
        </w:rPr>
      </w:r>
    </w:p>
    <w:p>
      <w:pPr>
        <w:jc w:val="left"/>
        <w:spacing w:after="0" w:line="259" w:lineRule="auto"/>
        <w:rPr>
          <w:rFonts w:eastAsiaTheme="minorHAnsi"/>
          <w:sz w:val="22"/>
          <w:szCs w:val="22"/>
          <w:lang w:eastAsia="en-US"/>
        </w:rPr>
      </w:pPr>
      <w:r>
        <w:rPr>
          <w:rFonts w:eastAsiaTheme="minorHAnsi"/>
          <w:sz w:val="22"/>
          <w:szCs w:val="22"/>
          <w:lang w:eastAsia="en-US"/>
        </w:rPr>
        <w:t xml:space="preserve">Номер извещения о проведении закупки в ЕИС: _________________________________</w:t>
      </w:r>
      <w:r>
        <w:rPr>
          <w:rFonts w:eastAsiaTheme="minorHAnsi"/>
          <w:sz w:val="22"/>
          <w:szCs w:val="22"/>
          <w:lang w:eastAsia="en-US"/>
        </w:rPr>
      </w:r>
      <w:r>
        <w:rPr>
          <w:rFonts w:eastAsiaTheme="minorHAnsi"/>
          <w:sz w:val="22"/>
          <w:szCs w:val="22"/>
          <w:lang w:eastAsia="en-US"/>
        </w:rPr>
      </w:r>
    </w:p>
    <w:p>
      <w:pPr>
        <w:jc w:val="left"/>
        <w:spacing w:after="0" w:line="259" w:lineRule="auto"/>
        <w:rPr>
          <w:rFonts w:eastAsiaTheme="minorHAnsi"/>
          <w:sz w:val="22"/>
          <w:szCs w:val="22"/>
          <w:lang w:eastAsia="en-US"/>
        </w:rPr>
      </w:pPr>
      <w:r>
        <w:rPr>
          <w:rFonts w:eastAsiaTheme="minorHAnsi"/>
          <w:sz w:val="22"/>
          <w:szCs w:val="22"/>
          <w:lang w:eastAsia="en-US"/>
        </w:rPr>
        <w:t xml:space="preserve">Наименование участника закупки: _____________________________________________</w:t>
      </w:r>
      <w:r>
        <w:rPr>
          <w:rFonts w:eastAsiaTheme="minorHAnsi"/>
          <w:sz w:val="22"/>
          <w:szCs w:val="22"/>
          <w:lang w:eastAsia="en-US"/>
        </w:rPr>
      </w:r>
      <w:r>
        <w:rPr>
          <w:rFonts w:eastAsiaTheme="minorHAnsi"/>
          <w:sz w:val="22"/>
          <w:szCs w:val="22"/>
          <w:lang w:eastAsia="en-US"/>
        </w:rPr>
      </w:r>
    </w:p>
    <w:p>
      <w:pPr>
        <w:jc w:val="left"/>
        <w:spacing w:after="160" w:line="259" w:lineRule="auto"/>
        <w:rPr>
          <w:rFonts w:eastAsiaTheme="minorHAnsi"/>
          <w:sz w:val="22"/>
          <w:szCs w:val="22"/>
          <w:lang w:eastAsia="en-US"/>
        </w:rPr>
      </w:pPr>
      <w:r>
        <w:rPr>
          <w:rFonts w:eastAsiaTheme="minorHAnsi"/>
          <w:sz w:val="22"/>
          <w:szCs w:val="22"/>
          <w:lang w:eastAsia="en-US"/>
        </w:rPr>
        <w:t xml:space="preserve">Юридический адрес (место нахождения) участника закупки: _______________________</w:t>
      </w:r>
      <w:r>
        <w:rPr>
          <w:rFonts w:eastAsiaTheme="minorHAnsi"/>
          <w:sz w:val="22"/>
          <w:szCs w:val="22"/>
          <w:lang w:eastAsia="en-US"/>
        </w:rPr>
      </w:r>
      <w:r>
        <w:rPr>
          <w:rFonts w:eastAsiaTheme="minorHAnsi"/>
          <w:sz w:val="22"/>
          <w:szCs w:val="22"/>
          <w:lang w:eastAsia="en-US"/>
        </w:rPr>
      </w:r>
    </w:p>
    <w:p>
      <w:pPr>
        <w:ind w:left="-426"/>
        <w:jc w:val="left"/>
        <w:spacing w:after="160" w:line="259" w:lineRule="auto"/>
        <w:rPr>
          <w:rFonts w:eastAsiaTheme="minorHAnsi"/>
          <w:sz w:val="22"/>
          <w:szCs w:val="22"/>
          <w:lang w:eastAsia="en-US"/>
        </w:rPr>
      </w:pPr>
      <w:r>
        <w:rPr>
          <w:rFonts w:eastAsiaTheme="minorHAnsi"/>
          <w:sz w:val="22"/>
          <w:szCs w:val="22"/>
          <w:lang w:eastAsia="en-US"/>
        </w:rPr>
      </w:r>
      <w:r>
        <w:rPr>
          <w:rFonts w:eastAsiaTheme="minorHAnsi"/>
          <w:sz w:val="22"/>
          <w:szCs w:val="22"/>
          <w:lang w:eastAsia="en-US"/>
        </w:rPr>
      </w:r>
      <w:r>
        <w:rPr>
          <w:rFonts w:eastAsiaTheme="minorHAnsi"/>
          <w:sz w:val="22"/>
          <w:szCs w:val="22"/>
          <w:lang w:eastAsia="en-US"/>
        </w:rPr>
      </w:r>
    </w:p>
    <w:tbl>
      <w:tblPr>
        <w:tblW w:w="10264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671"/>
        <w:gridCol w:w="1455"/>
        <w:gridCol w:w="1276"/>
        <w:gridCol w:w="2693"/>
        <w:gridCol w:w="1134"/>
        <w:gridCol w:w="2439"/>
      </w:tblGrid>
      <w:tr>
        <w:tblPrEx/>
        <w:trPr>
          <w:cantSplit/>
          <w:trHeight w:val="1485"/>
          <w:tblHeader/>
        </w:trPr>
        <w:tc>
          <w:tcPr>
            <w:tcW w:w="596" w:type="dxa"/>
            <w:vAlign w:val="center"/>
            <w:textDirection w:val="lrTb"/>
            <w:noWrap w:val="false"/>
          </w:tcPr>
          <w:p>
            <w:pPr>
              <w:ind w:left="57" w:right="57"/>
              <w:jc w:val="center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ind w:left="57" w:right="57"/>
              <w:jc w:val="center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п/п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71" w:type="dxa"/>
            <w:vAlign w:val="center"/>
            <w:textDirection w:val="lrTb"/>
            <w:noWrap w:val="false"/>
          </w:tcPr>
          <w:p>
            <w:pPr>
              <w:ind w:left="-108" w:right="-108"/>
              <w:jc w:val="center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и дата договора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455" w:type="dxa"/>
            <w:vAlign w:val="center"/>
            <w:textDirection w:val="lrTb"/>
            <w:noWrap w:val="false"/>
          </w:tcPr>
          <w:p>
            <w:pPr>
              <w:ind w:left="-108" w:right="-108"/>
              <w:jc w:val="center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Сроки выполнения (год и месяц начала выполнения - год и месяц фактического окончания выполнения)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ind w:left="-108" w:right="-108"/>
              <w:jc w:val="center"/>
              <w:spacing w:after="0"/>
              <w:widowControl w:val="off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Заказчик по договору</w:t>
            </w:r>
            <w:r>
              <w:rPr>
                <w:bCs/>
                <w:sz w:val="20"/>
                <w:szCs w:val="20"/>
              </w:rPr>
              <w:br/>
              <w:t xml:space="preserve">(наименование, адрес, контактное лицо с указанием должности, контактные телефоны)</w: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  <w:tc>
          <w:tcPr>
            <w:tcW w:w="2693" w:type="dxa"/>
            <w:vAlign w:val="center"/>
            <w:textDirection w:val="lrTb"/>
            <w:noWrap w:val="false"/>
          </w:tcPr>
          <w:p>
            <w:pPr>
              <w:ind w:left="-108" w:right="-108"/>
              <w:jc w:val="center"/>
              <w:keepNext/>
              <w:spacing w:before="40" w:after="4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Описание договора (объем и состав работ/услуг, описание основных условий договора)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ind w:hanging="3"/>
              <w:jc w:val="center"/>
              <w:spacing w:after="160" w:line="259" w:lineRule="auto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Cs/>
                <w:sz w:val="20"/>
                <w:szCs w:val="20"/>
                <w:lang w:eastAsia="en-US"/>
              </w:rPr>
            </w:r>
            <w:r>
              <w:rPr>
                <w:rFonts w:eastAsiaTheme="minorHAnsi"/>
                <w:bCs/>
                <w:sz w:val="20"/>
                <w:szCs w:val="20"/>
                <w:lang w:eastAsia="en-US"/>
              </w:rPr>
            </w:r>
            <w:r>
              <w:rPr>
                <w:rFonts w:eastAsiaTheme="minorHAnsi"/>
                <w:bCs/>
                <w:sz w:val="20"/>
                <w:szCs w:val="20"/>
                <w:lang w:eastAsia="en-US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ind w:left="-109" w:right="-107"/>
              <w:jc w:val="center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Стоимость договора, руб.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W w:w="2439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tabs>
                <w:tab w:val="left" w:pos="1332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Стоимость аналогичных работ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jc w:val="center"/>
              <w:spacing w:after="0"/>
              <w:widowControl w:val="off"/>
              <w:tabs>
                <w:tab w:val="left" w:pos="1332" w:leader="none"/>
              </w:tabs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(в случае если указанный договор включает в себя в том числе работы не являющиеся аналогичными)</w:t>
            </w:r>
            <w:r>
              <w:rPr>
                <w:i/>
                <w:sz w:val="20"/>
                <w:szCs w:val="20"/>
              </w:rPr>
            </w:r>
            <w:r>
              <w:rPr>
                <w:i/>
                <w:sz w:val="20"/>
                <w:szCs w:val="20"/>
              </w:rPr>
            </w:r>
          </w:p>
          <w:p>
            <w:pPr>
              <w:jc w:val="center"/>
              <w:spacing w:after="0"/>
              <w:widowControl w:val="off"/>
              <w:tabs>
                <w:tab w:val="left" w:pos="1332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Сумма, руб.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cantSplit/>
          <w:trHeight w:val="284"/>
          <w:tblHeader/>
        </w:trPr>
        <w:tc>
          <w:tcPr>
            <w:tcW w:w="596" w:type="dxa"/>
            <w:vAlign w:val="center"/>
            <w:textDirection w:val="lrTb"/>
            <w:noWrap w:val="false"/>
          </w:tcPr>
          <w:p>
            <w:pPr>
              <w:ind w:left="57" w:right="57"/>
              <w:jc w:val="center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71" w:type="dxa"/>
            <w:vAlign w:val="center"/>
            <w:textDirection w:val="lrTb"/>
            <w:noWrap w:val="false"/>
          </w:tcPr>
          <w:p>
            <w:pPr>
              <w:ind w:left="-108" w:right="-108"/>
              <w:jc w:val="center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455" w:type="dxa"/>
            <w:vAlign w:val="center"/>
            <w:textDirection w:val="lrTb"/>
            <w:noWrap w:val="false"/>
          </w:tcPr>
          <w:p>
            <w:pPr>
              <w:ind w:left="-108" w:right="-108"/>
              <w:jc w:val="center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ind w:left="-108" w:right="-108"/>
              <w:jc w:val="center"/>
              <w:spacing w:after="0"/>
              <w:widowControl w:val="off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4</w: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  <w:tc>
          <w:tcPr>
            <w:tcW w:w="2693" w:type="dxa"/>
            <w:vAlign w:val="center"/>
            <w:textDirection w:val="lrTb"/>
            <w:noWrap w:val="false"/>
          </w:tcPr>
          <w:p>
            <w:pPr>
              <w:ind w:left="-108" w:right="-108"/>
              <w:jc w:val="center"/>
              <w:keepNext/>
              <w:spacing w:before="40" w:after="4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ind w:left="-109" w:right="-107"/>
              <w:jc w:val="center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W w:w="2439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tabs>
                <w:tab w:val="left" w:pos="1332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cantSplit/>
          <w:trHeight w:val="283"/>
          <w:tblHeader/>
        </w:trPr>
        <w:tc>
          <w:tcPr>
            <w:tcW w:w="596" w:type="dxa"/>
            <w:vAlign w:val="center"/>
            <w:textDirection w:val="lrTb"/>
            <w:noWrap w:val="false"/>
          </w:tcPr>
          <w:p>
            <w:pPr>
              <w:ind w:left="57" w:right="57"/>
              <w:jc w:val="center"/>
              <w:spacing w:before="40" w:after="4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71" w:type="dxa"/>
            <w:vAlign w:val="center"/>
            <w:textDirection w:val="lrTb"/>
            <w:noWrap w:val="false"/>
          </w:tcPr>
          <w:p>
            <w:pPr>
              <w:ind w:left="-108" w:right="-108"/>
              <w:jc w:val="center"/>
              <w:spacing w:before="40" w:after="4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455" w:type="dxa"/>
            <w:vAlign w:val="center"/>
            <w:textDirection w:val="lrTb"/>
            <w:noWrap w:val="false"/>
          </w:tcPr>
          <w:p>
            <w:pPr>
              <w:ind w:left="-108" w:right="-108"/>
              <w:jc w:val="center"/>
              <w:spacing w:before="40" w:after="4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ind w:left="-108" w:right="-108"/>
              <w:jc w:val="center"/>
              <w:spacing w:before="40" w:after="4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693" w:type="dxa"/>
            <w:vAlign w:val="center"/>
            <w:textDirection w:val="lrTb"/>
            <w:noWrap w:val="false"/>
          </w:tcPr>
          <w:p>
            <w:pPr>
              <w:ind w:left="57" w:right="57"/>
              <w:jc w:val="center"/>
              <w:spacing w:before="40" w:after="4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spacing w:after="0"/>
              <w:widowControl w:val="off"/>
              <w:tabs>
                <w:tab w:val="left" w:pos="1332" w:leader="none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  <w:tc>
          <w:tcPr>
            <w:tcW w:w="2439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tabs>
                <w:tab w:val="left" w:pos="1332" w:leader="none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</w:tr>
      <w:tr>
        <w:tblPrEx/>
        <w:trPr>
          <w:cantSplit/>
          <w:trHeight w:val="236"/>
        </w:trPr>
        <w:tc>
          <w:tcPr>
            <w:tcW w:w="596" w:type="dxa"/>
            <w:textDirection w:val="lrTb"/>
            <w:noWrap w:val="false"/>
          </w:tcPr>
          <w:p>
            <w:pPr>
              <w:ind w:left="176"/>
              <w:jc w:val="left"/>
              <w:spacing w:after="160" w:line="259" w:lineRule="auto"/>
              <w:widowControl w:val="off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2</w:t>
            </w:r>
            <w:r>
              <w:rPr>
                <w:rFonts w:eastAsiaTheme="minorHAnsi"/>
                <w:sz w:val="20"/>
                <w:szCs w:val="20"/>
                <w:lang w:eastAsia="en-US"/>
              </w:rPr>
            </w:r>
            <w:r>
              <w:rPr>
                <w:rFonts w:eastAsiaTheme="minorHAnsi"/>
                <w:sz w:val="20"/>
                <w:szCs w:val="20"/>
                <w:lang w:eastAsia="en-US"/>
              </w:rPr>
            </w:r>
          </w:p>
        </w:tc>
        <w:tc>
          <w:tcPr>
            <w:tcW w:w="671" w:type="dxa"/>
            <w:textDirection w:val="lrTb"/>
            <w:noWrap w:val="false"/>
          </w:tcPr>
          <w:p>
            <w:pPr>
              <w:ind w:left="57" w:right="57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455" w:type="dxa"/>
            <w:textDirection w:val="lrTb"/>
            <w:noWrap w:val="false"/>
          </w:tcPr>
          <w:p>
            <w:pPr>
              <w:ind w:left="57" w:right="57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ind w:left="57" w:right="57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ind w:firstLine="33"/>
              <w:jc w:val="left"/>
              <w:spacing w:after="160" w:line="259" w:lineRule="auto"/>
              <w:tabs>
                <w:tab w:val="left" w:pos="0" w:leader="none"/>
              </w:tabs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</w:r>
            <w:r>
              <w:rPr>
                <w:rFonts w:eastAsiaTheme="minorHAnsi"/>
                <w:sz w:val="20"/>
                <w:szCs w:val="20"/>
                <w:lang w:eastAsia="en-US"/>
              </w:rPr>
            </w:r>
            <w:r>
              <w:rPr>
                <w:rFonts w:eastAsiaTheme="minorHAnsi"/>
                <w:sz w:val="20"/>
                <w:szCs w:val="20"/>
                <w:lang w:eastAsia="en-US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ind w:left="57" w:right="57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439" w:type="dxa"/>
            <w:textDirection w:val="lrTb"/>
            <w:noWrap w:val="false"/>
          </w:tcPr>
          <w:p>
            <w:pPr>
              <w:ind w:left="57" w:right="57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cantSplit/>
          <w:trHeight w:val="236"/>
        </w:trPr>
        <w:tc>
          <w:tcPr>
            <w:tcW w:w="596" w:type="dxa"/>
            <w:textDirection w:val="lrTb"/>
            <w:noWrap w:val="false"/>
          </w:tcPr>
          <w:p>
            <w:pPr>
              <w:ind w:left="176"/>
              <w:jc w:val="left"/>
              <w:spacing w:after="160" w:line="259" w:lineRule="auto"/>
              <w:widowControl w:val="off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…</w:t>
            </w:r>
            <w:r>
              <w:rPr>
                <w:rFonts w:eastAsiaTheme="minorHAnsi"/>
                <w:sz w:val="20"/>
                <w:szCs w:val="20"/>
                <w:lang w:eastAsia="en-US"/>
              </w:rPr>
            </w:r>
            <w:r>
              <w:rPr>
                <w:rFonts w:eastAsiaTheme="minorHAnsi"/>
                <w:sz w:val="20"/>
                <w:szCs w:val="20"/>
                <w:lang w:eastAsia="en-US"/>
              </w:rPr>
            </w:r>
          </w:p>
        </w:tc>
        <w:tc>
          <w:tcPr>
            <w:tcW w:w="671" w:type="dxa"/>
            <w:textDirection w:val="lrTb"/>
            <w:noWrap w:val="false"/>
          </w:tcPr>
          <w:p>
            <w:pPr>
              <w:ind w:left="57" w:right="57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455" w:type="dxa"/>
            <w:textDirection w:val="lrTb"/>
            <w:noWrap w:val="false"/>
          </w:tcPr>
          <w:p>
            <w:pPr>
              <w:ind w:left="57" w:right="57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ind w:left="57" w:right="57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ind w:firstLine="33"/>
              <w:jc w:val="left"/>
              <w:spacing w:after="160" w:line="259" w:lineRule="auto"/>
              <w:tabs>
                <w:tab w:val="left" w:pos="0" w:leader="none"/>
              </w:tabs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</w:r>
            <w:r>
              <w:rPr>
                <w:rFonts w:eastAsiaTheme="minorHAnsi"/>
                <w:sz w:val="20"/>
                <w:szCs w:val="20"/>
                <w:lang w:eastAsia="en-US"/>
              </w:rPr>
            </w:r>
            <w:r>
              <w:rPr>
                <w:rFonts w:eastAsiaTheme="minorHAnsi"/>
                <w:sz w:val="20"/>
                <w:szCs w:val="20"/>
                <w:lang w:eastAsia="en-US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ind w:left="57" w:right="57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439" w:type="dxa"/>
            <w:textDirection w:val="lrTb"/>
            <w:noWrap w:val="false"/>
          </w:tcPr>
          <w:p>
            <w:pPr>
              <w:ind w:left="57" w:right="57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cantSplit/>
          <w:trHeight w:val="66"/>
        </w:trPr>
        <w:tc>
          <w:tcPr>
            <w:gridSpan w:val="5"/>
            <w:tcW w:w="6691" w:type="dxa"/>
            <w:textDirection w:val="lrTb"/>
            <w:noWrap w:val="false"/>
          </w:tcPr>
          <w:p>
            <w:pPr>
              <w:ind w:left="57" w:right="57"/>
              <w:jc w:val="left"/>
              <w:spacing w:after="0"/>
              <w:widowControl w:val="off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ВСЕГО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ind w:left="57" w:right="57"/>
              <w:jc w:val="left"/>
              <w:spacing w:after="0"/>
              <w:widowControl w:val="off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2439" w:type="dxa"/>
            <w:textDirection w:val="lrTb"/>
            <w:noWrap w:val="false"/>
          </w:tcPr>
          <w:p>
            <w:pPr>
              <w:ind w:left="57" w:right="57"/>
              <w:jc w:val="center"/>
              <w:spacing w:after="0"/>
              <w:widowControl w:val="off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</w:tr>
    </w:tbl>
    <w:p>
      <w:pPr>
        <w:ind w:right="424"/>
        <w:jc w:val="left"/>
        <w:spacing w:after="0" w:line="259" w:lineRule="auto"/>
        <w:tabs>
          <w:tab w:val="left" w:pos="4820" w:leader="none"/>
        </w:tabs>
        <w:rPr>
          <w:rFonts w:eastAsiaTheme="minorHAnsi"/>
          <w:sz w:val="22"/>
          <w:szCs w:val="22"/>
          <w:lang w:eastAsia="en-US"/>
        </w:rPr>
      </w:pPr>
      <w:r>
        <w:rPr>
          <w:rFonts w:eastAsiaTheme="minorHAnsi"/>
          <w:sz w:val="22"/>
          <w:szCs w:val="22"/>
          <w:lang w:eastAsia="en-US"/>
        </w:rPr>
      </w:r>
      <w:r>
        <w:rPr>
          <w:rFonts w:eastAsiaTheme="minorHAnsi"/>
          <w:sz w:val="22"/>
          <w:szCs w:val="22"/>
          <w:lang w:eastAsia="en-US"/>
        </w:rPr>
      </w:r>
      <w:r>
        <w:rPr>
          <w:rFonts w:eastAsiaTheme="minorHAnsi"/>
          <w:sz w:val="22"/>
          <w:szCs w:val="22"/>
          <w:lang w:eastAsia="en-US"/>
        </w:rPr>
      </w:r>
    </w:p>
    <w:p>
      <w:pPr>
        <w:ind w:right="424"/>
        <w:jc w:val="left"/>
        <w:spacing w:after="0" w:line="259" w:lineRule="auto"/>
        <w:tabs>
          <w:tab w:val="left" w:pos="4820" w:leader="none"/>
        </w:tabs>
        <w:rPr>
          <w:rFonts w:eastAsiaTheme="minorHAnsi"/>
          <w:sz w:val="22"/>
          <w:szCs w:val="22"/>
          <w:lang w:eastAsia="en-US"/>
        </w:rPr>
      </w:pPr>
      <w:r>
        <w:rPr>
          <w:rFonts w:eastAsiaTheme="minorHAnsi"/>
          <w:sz w:val="22"/>
          <w:szCs w:val="22"/>
          <w:lang w:eastAsia="en-US"/>
        </w:rPr>
      </w:r>
      <w:r>
        <w:rPr>
          <w:rFonts w:eastAsiaTheme="minorHAnsi"/>
          <w:sz w:val="22"/>
          <w:szCs w:val="22"/>
          <w:lang w:eastAsia="en-US"/>
        </w:rPr>
      </w:r>
      <w:r>
        <w:rPr>
          <w:rFonts w:eastAsiaTheme="minorHAnsi"/>
          <w:sz w:val="22"/>
          <w:szCs w:val="22"/>
          <w:lang w:eastAsia="en-US"/>
        </w:rPr>
      </w:r>
    </w:p>
    <w:p>
      <w:pPr>
        <w:ind w:right="424"/>
        <w:jc w:val="left"/>
        <w:spacing w:after="0" w:line="259" w:lineRule="auto"/>
        <w:tabs>
          <w:tab w:val="left" w:pos="4820" w:leader="none"/>
        </w:tabs>
        <w:rPr>
          <w:rFonts w:eastAsiaTheme="minorHAnsi"/>
          <w:sz w:val="22"/>
          <w:szCs w:val="22"/>
          <w:lang w:eastAsia="en-US"/>
        </w:rPr>
      </w:pPr>
      <w:r>
        <w:rPr>
          <w:rFonts w:eastAsiaTheme="minorHAnsi"/>
          <w:sz w:val="22"/>
          <w:szCs w:val="22"/>
          <w:lang w:eastAsia="en-US"/>
        </w:rPr>
        <w:t xml:space="preserve">____________________________ </w:t>
      </w:r>
      <w:r>
        <w:rPr>
          <w:rFonts w:eastAsiaTheme="minorHAnsi"/>
          <w:sz w:val="22"/>
          <w:szCs w:val="22"/>
          <w:lang w:eastAsia="en-US"/>
        </w:rPr>
        <w:tab/>
        <w:t xml:space="preserve">[</w:t>
      </w:r>
      <w:r>
        <w:rPr>
          <w:rFonts w:eastAsiaTheme="minorHAnsi"/>
          <w:sz w:val="22"/>
          <w:szCs w:val="22"/>
          <w:shd w:val="clear" w:color="auto" w:fill="d9d9d9" w:themeFill="background1" w:themeFillShade="D9"/>
          <w:lang w:eastAsia="en-US"/>
        </w:rPr>
        <w:t xml:space="preserve">указать</w:t>
      </w:r>
      <w:r>
        <w:rPr>
          <w:rFonts w:eastAsiaTheme="minorHAnsi"/>
          <w:sz w:val="22"/>
          <w:szCs w:val="22"/>
          <w:lang w:eastAsia="en-US"/>
        </w:rPr>
        <w:t xml:space="preserve">] ____________________________</w:t>
      </w:r>
      <w:r>
        <w:rPr>
          <w:rFonts w:eastAsiaTheme="minorHAnsi"/>
          <w:sz w:val="22"/>
          <w:szCs w:val="22"/>
          <w:lang w:eastAsia="en-US"/>
        </w:rPr>
      </w:r>
      <w:r>
        <w:rPr>
          <w:rFonts w:eastAsiaTheme="minorHAnsi"/>
          <w:sz w:val="22"/>
          <w:szCs w:val="22"/>
          <w:lang w:eastAsia="en-US"/>
        </w:rPr>
      </w:r>
    </w:p>
    <w:p>
      <w:pPr>
        <w:ind w:right="567"/>
        <w:spacing w:before="120" w:after="0"/>
        <w:tabs>
          <w:tab w:val="left" w:pos="5245" w:leader="none"/>
        </w:tabs>
        <w:rPr>
          <w:vertAlign w:val="superscript"/>
        </w:rPr>
      </w:pPr>
      <w:r>
        <w:rPr>
          <w:vertAlign w:val="superscript"/>
        </w:rPr>
        <w:t xml:space="preserve">(подпись, М.П.)  </w:t>
      </w:r>
      <w:r>
        <w:rPr>
          <w:vertAlign w:val="superscript"/>
        </w:rPr>
        <w:tab/>
        <w:t xml:space="preserve">(фамилия, имя, отчество подписавшего, должность)</w:t>
      </w:r>
      <w:r>
        <w:rPr>
          <w:vertAlign w:val="superscript"/>
        </w:rPr>
      </w:r>
      <w:r>
        <w:rPr>
          <w:vertAlign w:val="superscript"/>
        </w:rPr>
      </w:r>
    </w:p>
    <w:p>
      <w:pPr>
        <w:jc w:val="left"/>
        <w:spacing w:after="0" w:line="259" w:lineRule="auto"/>
        <w:rPr>
          <w:rFonts w:eastAsiaTheme="minorHAnsi"/>
          <w:b/>
          <w:sz w:val="22"/>
          <w:szCs w:val="22"/>
          <w:lang w:eastAsia="en-US"/>
        </w:rPr>
      </w:pPr>
      <w:r>
        <w:rPr>
          <w:rFonts w:eastAsiaTheme="minorHAnsi"/>
          <w:b/>
          <w:sz w:val="22"/>
          <w:szCs w:val="22"/>
          <w:lang w:eastAsia="en-US"/>
        </w:rPr>
      </w:r>
      <w:r>
        <w:rPr>
          <w:rFonts w:eastAsiaTheme="minorHAnsi"/>
          <w:b/>
          <w:sz w:val="22"/>
          <w:szCs w:val="22"/>
          <w:lang w:eastAsia="en-US"/>
        </w:rPr>
      </w:r>
      <w:r>
        <w:rPr>
          <w:rFonts w:eastAsiaTheme="minorHAnsi"/>
          <w:b/>
          <w:sz w:val="22"/>
          <w:szCs w:val="22"/>
          <w:lang w:eastAsia="en-US"/>
        </w:rPr>
      </w:r>
    </w:p>
    <w:p>
      <w:pPr>
        <w:jc w:val="left"/>
        <w:spacing w:after="0" w:line="259" w:lineRule="auto"/>
        <w:rPr>
          <w:rFonts w:eastAsiaTheme="minorHAnsi"/>
          <w:b/>
          <w:sz w:val="22"/>
          <w:szCs w:val="22"/>
          <w:lang w:eastAsia="en-US"/>
        </w:rPr>
      </w:pPr>
      <w:r>
        <w:rPr>
          <w:rFonts w:eastAsiaTheme="minorHAnsi"/>
          <w:b/>
          <w:sz w:val="22"/>
          <w:szCs w:val="22"/>
          <w:lang w:eastAsia="en-US"/>
        </w:rPr>
        <w:t xml:space="preserve">Инструкции по заполнению:</w:t>
      </w:r>
      <w:r>
        <w:rPr>
          <w:rFonts w:eastAsiaTheme="minorHAnsi"/>
          <w:b/>
          <w:sz w:val="22"/>
          <w:szCs w:val="22"/>
          <w:lang w:eastAsia="en-US"/>
        </w:rPr>
      </w:r>
      <w:r>
        <w:rPr>
          <w:rFonts w:eastAsiaTheme="minorHAnsi"/>
          <w:b/>
          <w:sz w:val="22"/>
          <w:szCs w:val="22"/>
          <w:lang w:eastAsia="en-US"/>
        </w:rPr>
      </w:r>
    </w:p>
    <w:p>
      <w:pPr>
        <w:numPr>
          <w:ilvl w:val="0"/>
          <w:numId w:val="14"/>
        </w:numPr>
        <w:ind w:left="426"/>
        <w:jc w:val="left"/>
        <w:spacing w:after="0" w:line="259" w:lineRule="auto"/>
        <w:rPr>
          <w:rFonts w:eastAsiaTheme="minorHAnsi"/>
          <w:sz w:val="22"/>
          <w:szCs w:val="22"/>
          <w:lang w:eastAsia="en-US"/>
        </w:rPr>
      </w:pPr>
      <w:r>
        <w:rPr>
          <w:rFonts w:eastAsiaTheme="minorHAnsi"/>
          <w:sz w:val="22"/>
          <w:szCs w:val="22"/>
          <w:lang w:eastAsia="en-US"/>
        </w:rPr>
        <w:t xml:space="preserve">данные инструкции не следует воспроизводить в документах, подготовленных Участником закупки;</w:t>
      </w:r>
      <w:r>
        <w:rPr>
          <w:rFonts w:eastAsiaTheme="minorHAnsi"/>
          <w:sz w:val="22"/>
          <w:szCs w:val="22"/>
          <w:lang w:eastAsia="en-US"/>
        </w:rPr>
      </w:r>
      <w:r>
        <w:rPr>
          <w:rFonts w:eastAsiaTheme="minorHAnsi"/>
          <w:sz w:val="22"/>
          <w:szCs w:val="22"/>
          <w:lang w:eastAsia="en-US"/>
        </w:rPr>
      </w:r>
    </w:p>
    <w:p>
      <w:pPr>
        <w:numPr>
          <w:ilvl w:val="0"/>
          <w:numId w:val="14"/>
        </w:numPr>
        <w:ind w:left="426"/>
        <w:jc w:val="left"/>
        <w:spacing w:after="0" w:line="259" w:lineRule="auto"/>
        <w:rPr>
          <w:rFonts w:eastAsiaTheme="minorHAnsi"/>
          <w:sz w:val="22"/>
          <w:szCs w:val="22"/>
          <w:lang w:eastAsia="en-US"/>
        </w:rPr>
      </w:pPr>
      <w:r>
        <w:rPr>
          <w:rFonts w:eastAsiaTheme="minorHAnsi"/>
          <w:sz w:val="22"/>
          <w:szCs w:val="22"/>
          <w:lang w:eastAsia="en-US"/>
        </w:rPr>
        <w:t xml:space="preserve">участник закупки приводит наименование процедуры закупки, номер лота (в случае проведения многолотовой закупки), номер извещения о проведении закупки в ЕИС;</w:t>
      </w:r>
      <w:r>
        <w:rPr>
          <w:rFonts w:eastAsiaTheme="minorHAnsi"/>
          <w:sz w:val="22"/>
          <w:szCs w:val="22"/>
          <w:lang w:eastAsia="en-US"/>
        </w:rPr>
      </w:r>
      <w:r>
        <w:rPr>
          <w:rFonts w:eastAsiaTheme="minorHAnsi"/>
          <w:sz w:val="22"/>
          <w:szCs w:val="22"/>
          <w:lang w:eastAsia="en-US"/>
        </w:rPr>
      </w:r>
    </w:p>
    <w:p>
      <w:pPr>
        <w:numPr>
          <w:ilvl w:val="0"/>
          <w:numId w:val="14"/>
        </w:numPr>
        <w:ind w:left="426"/>
        <w:jc w:val="left"/>
        <w:spacing w:after="0" w:line="259" w:lineRule="auto"/>
        <w:rPr>
          <w:rFonts w:eastAsiaTheme="minorHAnsi"/>
          <w:sz w:val="22"/>
          <w:szCs w:val="22"/>
          <w:lang w:eastAsia="en-US"/>
        </w:rPr>
      </w:pPr>
      <w:r>
        <w:rPr>
          <w:rFonts w:eastAsiaTheme="minorHAnsi"/>
          <w:sz w:val="22"/>
          <w:szCs w:val="22"/>
          <w:lang w:eastAsia="en-US"/>
        </w:rPr>
        <w:t xml:space="preserve">участник закупки приводит наименования юридического лица и адреса места нахождения, либо фамилию, имя, отчество, паспортные данные, адрес прописки (адрес регистрации) физического лица, в том числе </w:t>
      </w:r>
      <w:r>
        <w:rPr>
          <w:rFonts w:eastAsiaTheme="minorHAnsi"/>
          <w:sz w:val="22"/>
          <w:szCs w:val="22"/>
          <w:lang w:eastAsia="en-US"/>
        </w:rPr>
        <w:t xml:space="preserve">индивидуального предпринимателя.</w:t>
      </w:r>
      <w:r>
        <w:rPr>
          <w:rFonts w:eastAsiaTheme="minorHAnsi"/>
          <w:sz w:val="22"/>
          <w:szCs w:val="22"/>
          <w:lang w:eastAsia="en-US"/>
        </w:rPr>
      </w:r>
      <w:r>
        <w:rPr>
          <w:rFonts w:eastAsiaTheme="minorHAnsi"/>
          <w:sz w:val="22"/>
          <w:szCs w:val="22"/>
          <w:lang w:eastAsia="en-US"/>
        </w:rPr>
      </w:r>
    </w:p>
    <w:p>
      <w:pPr>
        <w:jc w:val="left"/>
        <w:spacing w:after="160" w:line="259" w:lineRule="auto"/>
        <w:rPr>
          <w:rFonts w:eastAsiaTheme="minorHAnsi"/>
          <w:sz w:val="22"/>
          <w:szCs w:val="22"/>
          <w:lang w:eastAsia="en-US"/>
        </w:rPr>
      </w:pPr>
      <w:r>
        <w:rPr>
          <w:rFonts w:eastAsiaTheme="minorHAnsi"/>
          <w:sz w:val="22"/>
          <w:szCs w:val="22"/>
          <w:lang w:eastAsia="en-US"/>
        </w:rPr>
        <w:br w:type="page" w:clear="all"/>
      </w:r>
      <w:r>
        <w:rPr>
          <w:rFonts w:eastAsiaTheme="minorHAnsi"/>
          <w:sz w:val="22"/>
          <w:szCs w:val="22"/>
          <w:lang w:eastAsia="en-US"/>
        </w:rPr>
      </w:r>
      <w:r>
        <w:rPr>
          <w:rFonts w:eastAsiaTheme="minorHAnsi"/>
          <w:sz w:val="22"/>
          <w:szCs w:val="22"/>
          <w:lang w:eastAsia="en-US"/>
        </w:rPr>
      </w:r>
    </w:p>
    <w:p>
      <w:pPr>
        <w:pStyle w:val="1149"/>
        <w:rPr>
          <w:rFonts w:eastAsiaTheme="majorEastAsia"/>
          <w:sz w:val="24"/>
          <w:szCs w:val="24"/>
          <w:lang w:eastAsia="en-US"/>
        </w:rPr>
      </w:pPr>
      <w:r/>
      <w:bookmarkStart w:id="371" w:name="_Toc56"/>
      <w:r/>
      <w:bookmarkStart w:id="289" w:name="_ФОРМА_КОММЕРЧЕСКОЕ_ПРЕДЛОЖЕНИЕ"/>
      <w:r/>
      <w:bookmarkEnd w:id="289"/>
      <w:r>
        <w:rPr>
          <w:rFonts w:eastAsiaTheme="majorEastAsia"/>
          <w:sz w:val="24"/>
          <w:szCs w:val="24"/>
          <w:lang w:eastAsia="en-US"/>
        </w:rPr>
        <w:t xml:space="preserve">ФОРМА КОММЕРЧЕСКОЕ ПРЕДЛОЖЕНИЕ</w:t>
      </w:r>
      <w:r>
        <w:rPr>
          <w:rFonts w:eastAsiaTheme="majorEastAsia"/>
          <w:sz w:val="24"/>
          <w:szCs w:val="24"/>
          <w:lang w:eastAsia="en-US"/>
        </w:rPr>
      </w:r>
      <w:bookmarkEnd w:id="371"/>
      <w:r>
        <w:rPr>
          <w:rFonts w:eastAsiaTheme="majorEastAsia"/>
          <w:sz w:val="24"/>
          <w:szCs w:val="24"/>
          <w:lang w:eastAsia="en-US"/>
        </w:rPr>
      </w:r>
      <w:r>
        <w:rPr>
          <w:rFonts w:eastAsiaTheme="majorEastAsia"/>
          <w:sz w:val="24"/>
          <w:szCs w:val="24"/>
          <w:lang w:eastAsia="en-US"/>
        </w:rPr>
      </w:r>
    </w:p>
    <w:p>
      <w:pPr>
        <w:contextualSpacing/>
        <w:jc w:val="center"/>
        <w:spacing w:after="160" w:line="259" w:lineRule="auto"/>
        <w:tabs>
          <w:tab w:val="left" w:pos="284" w:leader="none"/>
        </w:tabs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(представляется в составе ценового предложения)</w:t>
      </w:r>
      <w:r>
        <w:rPr>
          <w:rFonts w:eastAsiaTheme="minorHAnsi"/>
          <w:lang w:eastAsia="en-US"/>
        </w:rPr>
      </w:r>
      <w:r>
        <w:rPr>
          <w:rFonts w:eastAsiaTheme="minorHAnsi"/>
          <w:lang w:eastAsia="en-US"/>
        </w:rPr>
      </w:r>
    </w:p>
    <w:p>
      <w:pPr>
        <w:contextualSpacing/>
        <w:jc w:val="center"/>
        <w:spacing w:after="160" w:line="259" w:lineRule="auto"/>
        <w:tabs>
          <w:tab w:val="left" w:pos="284" w:leader="none"/>
        </w:tabs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</w:r>
      <w:r>
        <w:rPr>
          <w:rFonts w:eastAsiaTheme="minorHAnsi"/>
          <w:lang w:eastAsia="en-US"/>
        </w:rPr>
      </w:r>
      <w:r>
        <w:rPr>
          <w:rFonts w:eastAsiaTheme="minorHAnsi"/>
          <w:lang w:eastAsia="en-US"/>
        </w:rPr>
      </w:r>
    </w:p>
    <w:p>
      <w:pPr>
        <w:contextualSpacing/>
        <w:ind w:firstLine="709"/>
        <w:spacing w:after="160" w:line="259" w:lineRule="auto"/>
        <w:tabs>
          <w:tab w:val="left" w:pos="284" w:leader="none"/>
        </w:tabs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Форма коммерческого предложения участника закупки представлена в </w:t>
      </w:r>
      <w:r>
        <w:rPr>
          <w:rFonts w:eastAsiaTheme="minorHAnsi"/>
          <w:highlight w:val="yellow"/>
          <w:lang w:eastAsia="en-US"/>
        </w:rPr>
        <w:t xml:space="preserve">приложении 4</w:t>
      </w:r>
      <w:r>
        <w:rPr>
          <w:rFonts w:eastAsiaTheme="minorHAnsi"/>
          <w:lang w:eastAsia="en-US"/>
        </w:rPr>
        <w:t xml:space="preserve"> к настоящей документации о закупке.</w:t>
      </w:r>
      <w:r>
        <w:rPr>
          <w:rFonts w:eastAsiaTheme="minorHAnsi"/>
          <w:lang w:eastAsia="en-US"/>
        </w:rPr>
      </w:r>
      <w:r>
        <w:rPr>
          <w:rFonts w:eastAsiaTheme="minorHAnsi"/>
          <w:lang w:eastAsia="en-US"/>
        </w:rPr>
      </w:r>
    </w:p>
    <w:p>
      <w:pPr>
        <w:contextualSpacing/>
        <w:spacing w:after="160" w:line="259" w:lineRule="auto"/>
        <w:tabs>
          <w:tab w:val="left" w:pos="284" w:leader="none"/>
        </w:tabs>
        <w:rPr>
          <w:b/>
          <w:bCs/>
          <w:sz w:val="26"/>
          <w:szCs w:val="26"/>
        </w:rPr>
      </w:pPr>
      <w:r>
        <w:rPr>
          <w:rFonts w:eastAsiaTheme="minorHAnsi"/>
          <w:lang w:eastAsia="en-US"/>
        </w:rPr>
        <w:br w:type="page" w:clear="all"/>
      </w: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</w:p>
    <w:p>
      <w:pPr>
        <w:pStyle w:val="1148"/>
        <w:numPr>
          <w:ilvl w:val="0"/>
          <w:numId w:val="4"/>
        </w:numPr>
        <w:ind w:left="0" w:firstLine="567"/>
        <w:pageBreakBefore/>
        <w:spacing w:before="0" w:after="0"/>
        <w:rPr>
          <w:rStyle w:val="1169"/>
          <w:rFonts w:ascii="Times New Roman" w:hAnsi="Times New Roman" w:cs="Times New Roman"/>
          <w:b w:val="0"/>
          <w:caps/>
          <w:color w:val="auto"/>
          <w:sz w:val="28"/>
          <w:szCs w:val="28"/>
        </w:rPr>
      </w:pPr>
      <w:r/>
      <w:bookmarkStart w:id="372" w:name="_Toc57"/>
      <w:r/>
      <w:bookmarkStart w:id="296" w:name="_ФОРМА_независимой_гарантии"/>
      <w:r/>
      <w:bookmarkStart w:id="297" w:name="_ФОРМА_15._Справка"/>
      <w:r/>
      <w:bookmarkStart w:id="298" w:name="_ФОРМА__Справка"/>
      <w:r/>
      <w:bookmarkStart w:id="299" w:name="_ПРОЕКТ_ДОГОВОРА"/>
      <w:r/>
      <w:bookmarkEnd w:id="296"/>
      <w:r/>
      <w:bookmarkEnd w:id="297"/>
      <w:r/>
      <w:bookmarkEnd w:id="298"/>
      <w:r/>
      <w:bookmarkEnd w:id="299"/>
      <w:r>
        <w:rPr>
          <w:rStyle w:val="1169"/>
          <w:rFonts w:ascii="Times New Roman" w:hAnsi="Times New Roman" w:cs="Times New Roman"/>
          <w:caps/>
          <w:color w:val="auto"/>
          <w:sz w:val="28"/>
          <w:szCs w:val="28"/>
        </w:rPr>
        <w:t xml:space="preserve">ПРОЕКТ ДОГОВОРА</w:t>
      </w:r>
      <w:r>
        <w:rPr>
          <w:rStyle w:val="1169"/>
          <w:rFonts w:ascii="Times New Roman" w:hAnsi="Times New Roman" w:cs="Times New Roman"/>
          <w:b w:val="0"/>
          <w:caps/>
          <w:color w:val="auto"/>
          <w:sz w:val="28"/>
          <w:szCs w:val="28"/>
        </w:rPr>
      </w:r>
      <w:bookmarkEnd w:id="372"/>
      <w:r>
        <w:rPr>
          <w:rStyle w:val="1169"/>
          <w:rFonts w:ascii="Times New Roman" w:hAnsi="Times New Roman" w:cs="Times New Roman"/>
          <w:b w:val="0"/>
          <w:caps/>
          <w:color w:val="auto"/>
          <w:sz w:val="28"/>
          <w:szCs w:val="28"/>
        </w:rPr>
      </w:r>
      <w:r>
        <w:rPr>
          <w:rStyle w:val="1169"/>
          <w:rFonts w:ascii="Times New Roman" w:hAnsi="Times New Roman" w:cs="Times New Roman"/>
          <w:b w:val="0"/>
          <w:caps/>
          <w:color w:val="auto"/>
          <w:sz w:val="28"/>
          <w:szCs w:val="28"/>
        </w:rPr>
      </w:r>
    </w:p>
    <w:p>
      <w:r>
        <w:rPr>
          <w:bCs/>
          <w:highlight w:val="none"/>
        </w:rPr>
      </w:r>
      <w:r>
        <w:rPr>
          <w:bCs/>
          <w:highlight w:val="none"/>
        </w:rPr>
      </w:r>
      <w:r/>
    </w:p>
    <w:p>
      <w:pPr>
        <w:ind w:left="0" w:right="0" w:firstLine="567"/>
        <w:rPr>
          <w:highlight w:val="none"/>
        </w:rPr>
      </w:pPr>
      <w:r>
        <w:rPr>
          <w:bCs/>
        </w:rPr>
        <w:t xml:space="preserve">Проект договора представлен в виде отдельного файла в составе Приложе</w:t>
      </w:r>
      <w:r>
        <w:rPr>
          <w:bCs/>
        </w:rPr>
        <w:t xml:space="preserve">ния №1 к документации о закупке.</w:t>
      </w:r>
      <w:r>
        <w:rPr>
          <w:highlight w:val="none"/>
        </w:rPr>
      </w:r>
      <w:r>
        <w:rPr>
          <w:highlight w:val="none"/>
        </w:rPr>
      </w:r>
    </w:p>
    <w:p>
      <w:pPr>
        <w:jc w:val="left"/>
        <w:spacing w:after="0"/>
        <w:rPr>
          <w:bCs/>
        </w:rPr>
      </w:pPr>
      <w:r>
        <w:rPr>
          <w:rStyle w:val="1169"/>
          <w:caps/>
          <w:sz w:val="28"/>
          <w:szCs w:val="28"/>
        </w:rPr>
        <w:br w:type="page" w:clear="all"/>
      </w:r>
      <w:r>
        <w:rPr>
          <w:bCs/>
        </w:rPr>
      </w:r>
      <w:r>
        <w:rPr>
          <w:bCs/>
        </w:rPr>
      </w:r>
    </w:p>
    <w:p>
      <w:pPr>
        <w:pStyle w:val="1148"/>
        <w:numPr>
          <w:ilvl w:val="0"/>
          <w:numId w:val="4"/>
        </w:numPr>
        <w:ind w:left="0" w:firstLine="567"/>
        <w:spacing w:before="0" w:after="0"/>
        <w:rPr>
          <w:rStyle w:val="1169"/>
          <w:rFonts w:ascii="Times New Roman" w:hAnsi="Times New Roman" w:cs="Times New Roman"/>
          <w:b w:val="0"/>
          <w:color w:val="auto"/>
          <w:sz w:val="28"/>
          <w:szCs w:val="28"/>
        </w:rPr>
      </w:pPr>
      <w:r/>
      <w:bookmarkStart w:id="373" w:name="_Toc58"/>
      <w:r/>
      <w:bookmarkStart w:id="302" w:name="_ТЕХНИЧЕСКАЯ_ЧАСТЬ"/>
      <w:r/>
      <w:bookmarkEnd w:id="302"/>
      <w:r>
        <w:rPr>
          <w:rStyle w:val="1169"/>
          <w:rFonts w:ascii="Times New Roman" w:hAnsi="Times New Roman" w:cs="Times New Roman"/>
          <w:color w:val="auto"/>
          <w:sz w:val="28"/>
          <w:szCs w:val="28"/>
        </w:rPr>
        <w:t xml:space="preserve">ТЕХНИЧЕСКАЯ ЧАСТЬ</w:t>
      </w:r>
      <w:r>
        <w:rPr>
          <w:rStyle w:val="1169"/>
          <w:rFonts w:ascii="Times New Roman" w:hAnsi="Times New Roman" w:cs="Times New Roman"/>
          <w:b w:val="0"/>
          <w:color w:val="auto"/>
          <w:sz w:val="28"/>
          <w:szCs w:val="28"/>
        </w:rPr>
      </w:r>
      <w:bookmarkEnd w:id="373"/>
      <w:r>
        <w:rPr>
          <w:rStyle w:val="1169"/>
          <w:rFonts w:ascii="Times New Roman" w:hAnsi="Times New Roman" w:cs="Times New Roman"/>
          <w:b w:val="0"/>
          <w:color w:val="auto"/>
          <w:sz w:val="28"/>
          <w:szCs w:val="28"/>
        </w:rPr>
      </w:r>
      <w:r>
        <w:rPr>
          <w:rStyle w:val="1169"/>
          <w:rFonts w:ascii="Times New Roman" w:hAnsi="Times New Roman" w:cs="Times New Roman"/>
          <w:b w:val="0"/>
          <w:color w:val="auto"/>
          <w:sz w:val="28"/>
          <w:szCs w:val="28"/>
        </w:rPr>
      </w:r>
    </w:p>
    <w:p>
      <w:r>
        <w:rPr>
          <w:bCs/>
          <w:highlight w:val="none"/>
        </w:rPr>
      </w:r>
      <w:r>
        <w:rPr>
          <w:bCs/>
          <w:highlight w:val="none"/>
        </w:rPr>
      </w:r>
      <w:r/>
    </w:p>
    <w:p>
      <w:pPr>
        <w:ind w:left="0" w:right="0" w:firstLine="567"/>
        <w:rPr>
          <w:highlight w:val="none"/>
        </w:rPr>
      </w:pPr>
      <w:r>
        <w:rPr>
          <w:bCs/>
        </w:rPr>
        <w:t xml:space="preserve">Технические требования к продукции</w:t>
      </w:r>
      <w:r>
        <w:rPr>
          <w:bCs/>
        </w:rPr>
        <w:t xml:space="preserve"> (предмету закупки)</w:t>
      </w:r>
      <w:r>
        <w:rPr>
          <w:bCs/>
        </w:rPr>
        <w:t xml:space="preserve"> представлены в виде отдельного файла в составе Приложе</w:t>
      </w:r>
      <w:r>
        <w:rPr>
          <w:bCs/>
        </w:rPr>
        <w:t xml:space="preserve">ния №2 к документации о закупке.</w:t>
      </w:r>
      <w:r>
        <w:rPr>
          <w:highlight w:val="none"/>
        </w:rPr>
      </w:r>
      <w:r>
        <w:rPr>
          <w:highlight w:val="none"/>
        </w:rPr>
      </w:r>
    </w:p>
    <w:p>
      <w:pPr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pStyle w:val="1148"/>
        <w:numPr>
          <w:ilvl w:val="0"/>
          <w:numId w:val="4"/>
        </w:numPr>
        <w:spacing w:before="0" w:after="0"/>
        <w:rPr>
          <w:rFonts w:eastAsiaTheme="majorEastAsia"/>
          <w:b w:val="0"/>
          <w:sz w:val="28"/>
          <w:szCs w:val="28"/>
        </w:rPr>
      </w:pPr>
      <w:r/>
      <w:bookmarkStart w:id="374" w:name="_Toc59"/>
      <w:r/>
      <w:bookmarkStart w:id="305" w:name="_ОБОСНОВАНИЕ_НАЧАЛЬНОЙ_(МАКСИМАЛЬНОЙ"/>
      <w:r/>
      <w:bookmarkEnd w:id="305"/>
      <w:r>
        <w:rPr>
          <w:sz w:val="28"/>
          <w:szCs w:val="28"/>
        </w:rPr>
        <w:t xml:space="preserve">ОБОСНОВАНИЕ НАЧАЛЬНОЙ (МАКСИМАЛЬНОЙ) ЦЕНЫ ДОГОВОРА</w:t>
      </w:r>
      <w:r>
        <w:rPr>
          <w:rFonts w:eastAsiaTheme="majorEastAsia"/>
          <w:b w:val="0"/>
          <w:sz w:val="28"/>
          <w:szCs w:val="28"/>
        </w:rPr>
      </w:r>
      <w:bookmarkEnd w:id="374"/>
      <w:r>
        <w:rPr>
          <w:rFonts w:eastAsiaTheme="majorEastAsia"/>
          <w:b w:val="0"/>
          <w:sz w:val="28"/>
          <w:szCs w:val="28"/>
        </w:rPr>
      </w:r>
      <w:r>
        <w:rPr>
          <w:rFonts w:eastAsiaTheme="majorEastAsia"/>
          <w:b w:val="0"/>
          <w:sz w:val="28"/>
          <w:szCs w:val="28"/>
        </w:rPr>
      </w:r>
    </w:p>
    <w:p>
      <w:r>
        <w:rPr>
          <w:bCs/>
          <w:highlight w:val="none"/>
        </w:rPr>
      </w:r>
      <w:r>
        <w:rPr>
          <w:bCs/>
          <w:highlight w:val="none"/>
        </w:rPr>
      </w:r>
      <w:r/>
    </w:p>
    <w:p>
      <w:pPr>
        <w:ind w:left="0" w:right="0" w:firstLine="567"/>
        <w:rPr>
          <w:highlight w:val="none"/>
        </w:rPr>
      </w:pPr>
      <w:r>
        <w:rPr>
          <w:bCs/>
        </w:rPr>
        <w:t xml:space="preserve">Обоснование начальной (максимальной) цены договора представлено в составе отдельного файла в составе Приложения 3 к документации о закупке.</w:t>
      </w:r>
      <w:r>
        <w:rPr>
          <w:highlight w:val="none"/>
        </w:rPr>
      </w:r>
      <w:r>
        <w:rPr>
          <w:highlight w:val="none"/>
        </w:rPr>
      </w:r>
    </w:p>
    <w:p>
      <w:pPr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numPr>
          <w:ilvl w:val="0"/>
          <w:numId w:val="4"/>
        </w:numPr>
        <w:jc w:val="center"/>
        <w:keepNext/>
        <w:spacing w:after="0"/>
        <w:rPr>
          <w:rFonts w:eastAsiaTheme="majorEastAsia"/>
          <w:sz w:val="28"/>
          <w:szCs w:val="28"/>
        </w:rPr>
        <w:outlineLvl w:val="0"/>
      </w:pPr>
      <w:r/>
      <w:bookmarkStart w:id="375" w:name="_Toc60"/>
      <w:r/>
      <w:bookmarkStart w:id="309" w:name="Par6766"/>
      <w:r/>
      <w:bookmarkEnd w:id="309"/>
      <w:r>
        <w:rPr>
          <w:rFonts w:eastAsiaTheme="majorEastAsia"/>
          <w:b/>
          <w:bCs/>
          <w:sz w:val="28"/>
          <w:szCs w:val="28"/>
        </w:rPr>
        <w:t xml:space="preserve">Типовая форма независимой гарантии обеспечения заявки участника закупочной процедуры</w:t>
      </w:r>
      <w:r>
        <w:rPr>
          <w:rFonts w:eastAsiaTheme="majorEastAsia"/>
          <w:sz w:val="28"/>
          <w:szCs w:val="28"/>
        </w:rPr>
      </w:r>
      <w:bookmarkEnd w:id="375"/>
      <w:r>
        <w:rPr>
          <w:rFonts w:eastAsiaTheme="majorEastAsia"/>
          <w:sz w:val="28"/>
          <w:szCs w:val="28"/>
        </w:rPr>
      </w:r>
      <w:r>
        <w:rPr>
          <w:rFonts w:eastAsiaTheme="majorEastAsia"/>
          <w:sz w:val="28"/>
          <w:szCs w:val="28"/>
        </w:rPr>
      </w:r>
    </w:p>
    <w:p>
      <w:pPr>
        <w:rPr>
          <w:rFonts w:eastAsia="Arial Unicode MS"/>
          <w:color w:val="000000"/>
          <w:sz w:val="26"/>
        </w:rPr>
        <w:outlineLvl w:val="0"/>
      </w:pPr>
      <w:r>
        <w:rPr>
          <w:rFonts w:eastAsia="Arial Unicode MS"/>
          <w:color w:val="000000"/>
          <w:sz w:val="26"/>
        </w:rPr>
      </w:r>
      <w:r>
        <w:rPr>
          <w:rFonts w:eastAsia="Arial Unicode MS"/>
          <w:color w:val="000000"/>
          <w:sz w:val="26"/>
        </w:rPr>
      </w:r>
      <w:r>
        <w:rPr>
          <w:rFonts w:eastAsia="Arial Unicode MS"/>
          <w:color w:val="000000"/>
          <w:sz w:val="26"/>
        </w:rPr>
      </w:r>
    </w:p>
    <w:p>
      <w:pPr>
        <w:jc w:val="center"/>
        <w:spacing w:line="240" w:lineRule="auto"/>
        <w:rPr>
          <w:b/>
          <w:bCs/>
          <w:sz w:val="24"/>
          <w:szCs w:val="24"/>
        </w:rPr>
      </w:pPr>
      <w:r>
        <w:rPr>
          <w:rFonts w:eastAsia="Arial Unicode MS"/>
          <w:color w:val="000000"/>
          <w:sz w:val="26"/>
        </w:rPr>
        <w:t xml:space="preserve"> </w:t>
      </w:r>
      <w:r>
        <w:rPr>
          <w:b/>
          <w:bCs/>
          <w:sz w:val="26"/>
          <w:szCs w:val="26"/>
        </w:rPr>
        <w:t xml:space="preserve"> </w:t>
      </w:r>
      <w:r>
        <w:rPr>
          <w:b/>
          <w:bCs/>
          <w:sz w:val="24"/>
          <w:szCs w:val="24"/>
        </w:rPr>
        <w:t xml:space="preserve">НЕЗАВИСИМАЯ ГАРАНТИЯ № ______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center"/>
        <w:spacing w:line="24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г. ________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«___»___________20__ г.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spacing w:line="24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firstLine="709"/>
        <w:spacing w:line="240" w:lineRule="auto"/>
        <w:rPr>
          <w:i/>
          <w:sz w:val="24"/>
          <w:szCs w:val="24"/>
        </w:rPr>
      </w:pPr>
      <w:r>
        <w:rPr>
          <w:bCs/>
          <w:sz w:val="24"/>
          <w:szCs w:val="24"/>
        </w:rPr>
        <w:t xml:space="preserve"> </w:t>
      </w:r>
      <w:r>
        <w:rPr>
          <w:sz w:val="24"/>
          <w:szCs w:val="24"/>
        </w:rPr>
        <w:t xml:space="preserve">Мы информированы о том, что________________________ </w:t>
      </w:r>
      <w:r>
        <w:rPr>
          <w:i/>
          <w:sz w:val="24"/>
          <w:szCs w:val="24"/>
        </w:rPr>
        <w:t xml:space="preserve">(</w:t>
      </w:r>
      <w:r>
        <w:rPr>
          <w:bCs/>
          <w:i/>
          <w:sz w:val="24"/>
          <w:szCs w:val="24"/>
        </w:rPr>
        <w:t xml:space="preserve">наименование, ИНН</w:t>
      </w:r>
      <w:r>
        <w:rPr>
          <w:bCs/>
          <w:sz w:val="24"/>
          <w:szCs w:val="24"/>
        </w:rPr>
        <w:t xml:space="preserve">), </w:t>
      </w:r>
      <w:r>
        <w:rPr>
          <w:sz w:val="24"/>
          <w:szCs w:val="24"/>
        </w:rPr>
        <w:t xml:space="preserve">именуемое в дальнейшем «Принципал», намерен участвовать в закупке на ___________________________________ </w:t>
      </w:r>
      <w:r>
        <w:rPr>
          <w:i/>
          <w:sz w:val="24"/>
          <w:szCs w:val="24"/>
        </w:rPr>
        <w:t xml:space="preserve">(предмет закупки)</w:t>
      </w:r>
      <w:r>
        <w:rPr>
          <w:sz w:val="24"/>
          <w:szCs w:val="24"/>
        </w:rPr>
        <w:t xml:space="preserve">, проводимой </w:t>
      </w:r>
      <w:r>
        <w:rPr>
          <w:bCs/>
          <w:sz w:val="24"/>
          <w:szCs w:val="24"/>
        </w:rPr>
        <w:t xml:space="preserve">_____________________ (</w:t>
      </w:r>
      <w:r>
        <w:rPr>
          <w:bCs/>
          <w:i/>
          <w:sz w:val="24"/>
          <w:szCs w:val="24"/>
        </w:rPr>
        <w:t xml:space="preserve">наименование бенефициара</w:t>
      </w:r>
      <w:r>
        <w:rPr>
          <w:i/>
          <w:sz w:val="24"/>
          <w:szCs w:val="24"/>
        </w:rPr>
        <w:t xml:space="preserve">, ИНН)</w:t>
      </w:r>
      <w:r>
        <w:rPr>
          <w:sz w:val="24"/>
          <w:szCs w:val="24"/>
        </w:rPr>
        <w:t xml:space="preserve">, именуемым в дальнейшем «Бенефициар»</w:t>
      </w:r>
      <w:r>
        <w:rPr>
          <w:i/>
          <w:sz w:val="24"/>
          <w:szCs w:val="24"/>
        </w:rPr>
        <w:t xml:space="preserve">.</w:t>
      </w:r>
      <w:r>
        <w:rPr>
          <w:i/>
          <w:sz w:val="24"/>
          <w:szCs w:val="24"/>
        </w:rPr>
      </w:r>
      <w:r>
        <w:rPr>
          <w:i/>
          <w:sz w:val="24"/>
          <w:szCs w:val="24"/>
        </w:rPr>
      </w:r>
    </w:p>
    <w:p>
      <w:pPr>
        <w:ind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В соответствии с условиями документации о закупке Принципал обязан предоставить Бенефициару финансовое обеспечение заявки Принципала на сумму в размере ___________________________</w:t>
      </w:r>
      <w:r>
        <w:rPr>
          <w:i/>
          <w:sz w:val="24"/>
          <w:szCs w:val="24"/>
        </w:rPr>
        <w:t xml:space="preserve">(сумма цифрами и прописью</w:t>
      </w:r>
      <w:r>
        <w:rPr>
          <w:sz w:val="24"/>
          <w:szCs w:val="24"/>
        </w:rPr>
        <w:t xml:space="preserve">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tabs>
          <w:tab w:val="left" w:pos="1080" w:leader="none"/>
          <w:tab w:val="left" w:pos="918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Учитывая вышеизложенное, по просьбе Принципала, мы, _________________________________ (</w:t>
      </w:r>
      <w:r>
        <w:rPr>
          <w:i/>
          <w:sz w:val="24"/>
          <w:szCs w:val="24"/>
        </w:rPr>
        <w:t xml:space="preserve">реквизиты гаранта: наименование, ИНН, реквизиты лицензии на осуществлении банковских операций</w:t>
      </w:r>
      <w:r>
        <w:rPr>
          <w:bCs/>
          <w:i/>
          <w:sz w:val="24"/>
          <w:szCs w:val="24"/>
        </w:rPr>
        <w:t xml:space="preserve">/иных документов, подтверждающих наличие у гаранта права на выдачу независимых гарантий</w:t>
      </w:r>
      <w:r>
        <w:rPr>
          <w:sz w:val="24"/>
          <w:szCs w:val="24"/>
          <w:vertAlign w:val="superscript"/>
        </w:rPr>
        <w:footnoteReference w:customMarkFollows="1" w:id="8"/>
        <w:t xml:space="preserve">1</w:t>
      </w:r>
      <w:r>
        <w:rPr>
          <w:sz w:val="24"/>
          <w:szCs w:val="24"/>
        </w:rPr>
        <w:t xml:space="preserve">), в лице </w:t>
      </w:r>
      <w:r>
        <w:rPr>
          <w:i/>
          <w:sz w:val="24"/>
          <w:szCs w:val="24"/>
        </w:rPr>
        <w:t xml:space="preserve">_____________</w:t>
      </w:r>
      <w:r>
        <w:rPr>
          <w:i/>
          <w:sz w:val="24"/>
          <w:szCs w:val="24"/>
        </w:rPr>
        <w:t xml:space="preserve">(</w:t>
      </w:r>
      <w:r>
        <w:rPr>
          <w:i/>
          <w:sz w:val="24"/>
          <w:szCs w:val="24"/>
        </w:rPr>
        <w:t xml:space="preserve">Ф.И.О. уполномоченного действовать от имени гаранта лица</w:t>
      </w:r>
      <w:r>
        <w:rPr>
          <w:sz w:val="24"/>
          <w:szCs w:val="24"/>
        </w:rPr>
        <w:t xml:space="preserve">), действующего на основании _____________ (</w:t>
      </w:r>
      <w:r>
        <w:rPr>
          <w:i/>
          <w:sz w:val="24"/>
          <w:szCs w:val="24"/>
        </w:rPr>
        <w:t xml:space="preserve">реквизиты доверенности)</w:t>
      </w:r>
      <w:r>
        <w:rPr>
          <w:sz w:val="24"/>
          <w:szCs w:val="24"/>
        </w:rPr>
        <w:t xml:space="preserve">, именуемый в дальнейшем «Гарант», настоящим принимаем на себя безотзывное и безусловное обязательство выплатить по первому письменному требованию Бенефициара любую сумму, не превышающую __________________ </w:t>
      </w:r>
      <w:r>
        <w:rPr>
          <w:i/>
          <w:sz w:val="24"/>
          <w:szCs w:val="24"/>
        </w:rPr>
        <w:t xml:space="preserve">(сумма цифрами и прописью</w:t>
      </w:r>
      <w:r>
        <w:rPr>
          <w:sz w:val="24"/>
          <w:szCs w:val="24"/>
        </w:rPr>
        <w:t xml:space="preserve">), в случае: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33"/>
        </w:numPr>
        <w:ind w:left="0" w:firstLine="709"/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непредставления или предоставления с нарушением условий, установленных настоящей документ</w:t>
      </w:r>
      <w:r>
        <w:rPr>
          <w:sz w:val="24"/>
          <w:szCs w:val="24"/>
        </w:rPr>
        <w:t xml:space="preserve">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33"/>
        </w:numPr>
        <w:ind w:left="0" w:firstLine="709"/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уклонения или отказа участника закупки от заключения договора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tabs>
          <w:tab w:val="left" w:pos="108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без споров и возражений с нашей стороны, не требуя от Бенефициара доказательств или обоснований требования на определенную в настоящей независимой гарантии сумму.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rFonts w:eastAsia="Arial Unicode MS"/>
          <w:color w:val="000000"/>
          <w:sz w:val="24"/>
          <w:szCs w:val="24"/>
        </w:rPr>
      </w:pPr>
      <w:r>
        <w:rPr>
          <w:rFonts w:eastAsia="Arial Unicode MS"/>
          <w:color w:val="000000"/>
          <w:sz w:val="24"/>
          <w:szCs w:val="24"/>
        </w:rPr>
        <w:t xml:space="preserve">Ответственность Гаранта за неисполнение требования</w:t>
      </w:r>
      <w:r>
        <w:rPr>
          <w:rFonts w:eastAsia="Arial Unicode MS"/>
          <w:color w:val="000000"/>
          <w:sz w:val="24"/>
          <w:szCs w:val="24"/>
        </w:rPr>
        <w:t xml:space="preserve"> по настоящей </w:t>
      </w:r>
      <w:r>
        <w:rPr>
          <w:rFonts w:eastAsia="Arial Unicode MS"/>
          <w:color w:val="000000"/>
          <w:sz w:val="24"/>
          <w:szCs w:val="24"/>
        </w:rPr>
        <w:t xml:space="preserve">независимой</w:t>
      </w:r>
      <w:r>
        <w:rPr>
          <w:rFonts w:eastAsia="Arial Unicode MS"/>
          <w:color w:val="000000"/>
          <w:sz w:val="24"/>
          <w:szCs w:val="24"/>
        </w:rPr>
        <w:t xml:space="preserve"> гарантии </w:t>
      </w:r>
      <w:r>
        <w:rPr>
          <w:rFonts w:eastAsia="Arial Unicode MS"/>
          <w:color w:val="000000"/>
          <w:sz w:val="24"/>
          <w:szCs w:val="24"/>
        </w:rPr>
        <w:t xml:space="preserve">не ограничивается суммой, на которую она выдана.</w:t>
      </w:r>
      <w:r>
        <w:rPr>
          <w:rFonts w:eastAsia="Arial Unicode MS"/>
          <w:color w:val="000000"/>
          <w:sz w:val="24"/>
          <w:szCs w:val="24"/>
        </w:rPr>
      </w:r>
      <w:r>
        <w:rPr>
          <w:rFonts w:eastAsia="Arial Unicode MS"/>
          <w:color w:val="000000"/>
          <w:sz w:val="24"/>
          <w:szCs w:val="24"/>
        </w:rPr>
      </w:r>
    </w:p>
    <w:p>
      <w:pPr>
        <w:ind w:firstLine="709"/>
        <w:spacing w:line="240" w:lineRule="auto"/>
        <w:rPr>
          <w:rFonts w:eastAsia="Arial Unicode MS"/>
          <w:color w:val="000000"/>
          <w:sz w:val="24"/>
          <w:szCs w:val="24"/>
        </w:rPr>
      </w:pPr>
      <w:r>
        <w:rPr>
          <w:rFonts w:eastAsia="Arial Unicode MS"/>
          <w:color w:val="000000"/>
          <w:sz w:val="24"/>
          <w:szCs w:val="24"/>
        </w:rPr>
        <w:t xml:space="preserve">За неисполнение принятых обязательств по независимой гарантии Гарант несет ответственность, предусмотренную законодательством Российской Федерации.</w:t>
      </w:r>
      <w:r>
        <w:rPr>
          <w:sz w:val="24"/>
          <w:szCs w:val="24"/>
        </w:rPr>
        <w:tab/>
      </w:r>
      <w:r>
        <w:rPr>
          <w:rFonts w:eastAsia="Arial Unicode MS"/>
          <w:color w:val="000000"/>
          <w:sz w:val="24"/>
          <w:szCs w:val="24"/>
        </w:rPr>
      </w:r>
      <w:r>
        <w:rPr>
          <w:rFonts w:eastAsia="Arial Unicode MS"/>
          <w:color w:val="000000"/>
          <w:sz w:val="24"/>
          <w:szCs w:val="24"/>
        </w:rPr>
      </w:r>
    </w:p>
    <w:p>
      <w:pPr>
        <w:ind w:firstLine="709"/>
        <w:spacing w:line="240" w:lineRule="auto"/>
        <w:tabs>
          <w:tab w:val="left" w:pos="1080" w:leader="none"/>
        </w:tabs>
        <w:rPr>
          <w:sz w:val="24"/>
          <w:szCs w:val="24"/>
        </w:rPr>
      </w:pPr>
      <w:r>
        <w:rPr>
          <w:bCs/>
          <w:sz w:val="24"/>
          <w:szCs w:val="24"/>
        </w:rPr>
        <w:t xml:space="preserve">Настоящая независимая гарантия вступает в силу с _________20___года и действует по __________20___года (включительно).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sz w:val="24"/>
          <w:szCs w:val="24"/>
        </w:rPr>
      </w:pPr>
      <w:r>
        <w:rPr>
          <w:bCs/>
          <w:sz w:val="24"/>
          <w:szCs w:val="24"/>
        </w:rPr>
        <w:t xml:space="preserve">Письменное требование платежа </w:t>
      </w:r>
      <w:r>
        <w:rPr>
          <w:sz w:val="24"/>
          <w:szCs w:val="24"/>
        </w:rPr>
        <w:t xml:space="preserve">должно быть направлено </w:t>
      </w:r>
      <w:r>
        <w:rPr>
          <w:bCs/>
          <w:sz w:val="24"/>
          <w:szCs w:val="24"/>
        </w:rPr>
        <w:t xml:space="preserve">Гаранту до 24 часов 00 минут «______»_________ (включительно) </w:t>
      </w:r>
      <w:r>
        <w:rPr>
          <w:sz w:val="24"/>
          <w:szCs w:val="24"/>
        </w:rPr>
        <w:t xml:space="preserve">по адресу: </w:t>
      </w:r>
      <w:r>
        <w:rPr>
          <w:bCs/>
          <w:sz w:val="24"/>
          <w:szCs w:val="24"/>
        </w:rPr>
        <w:t xml:space="preserve">__________________________</w:t>
      </w:r>
      <w:r>
        <w:rPr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посредством почтовой связи либо передано нарочным непосредственно по адресу:_______________________.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Гарант по получении от Бенефициара письменного требования о выплате денежной суммы</w:t>
      </w:r>
      <w:r>
        <w:rPr>
          <w:rFonts w:eastAsia="Arial Unicode MS"/>
          <w:color w:val="000000"/>
          <w:sz w:val="24"/>
          <w:szCs w:val="24"/>
        </w:rPr>
        <w:t xml:space="preserve"> по настоящей независимой гарантии</w:t>
      </w:r>
      <w:r>
        <w:rPr>
          <w:bCs/>
          <w:sz w:val="24"/>
          <w:szCs w:val="24"/>
        </w:rPr>
        <w:t xml:space="preserve">, обязуется в течение 10 рабочих дней с момента получения требования от Бенефициара, соответствующего условиям настоящей независимой гарантии, при отсутствии предусмотренных Граждан</w:t>
      </w:r>
      <w:r>
        <w:rPr>
          <w:bCs/>
          <w:sz w:val="24"/>
          <w:szCs w:val="24"/>
        </w:rPr>
        <w:t xml:space="preserve">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гарантии. Расходы, возникающие в связи с перечислением денежных средств, несет Гарант.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ind w:firstLine="709"/>
        <w:spacing w:line="240" w:lineRule="auto"/>
        <w:rPr>
          <w:sz w:val="24"/>
          <w:szCs w:val="24"/>
        </w:rPr>
      </w:pPr>
      <w:r>
        <w:rPr>
          <w:bCs/>
          <w:sz w:val="24"/>
          <w:szCs w:val="24"/>
        </w:rPr>
        <w:t xml:space="preserve">Гарантия не может быть отозвана Гарантом. Передача права требования по настоящей гарантии не допускается.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Настоящая Гарантия может быть изменена Гарантом с письменного согласия Бенефициара. Все изменения к настоящей Гарантии должны быть оформлены в виде письменного документа - Изменения к независимой гарантии.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ind w:firstLine="709"/>
        <w:spacing w:line="240" w:lineRule="auto"/>
        <w:rPr>
          <w:rFonts w:eastAsia="Arial Unicode MS"/>
          <w:color w:val="000000"/>
          <w:sz w:val="24"/>
          <w:szCs w:val="24"/>
        </w:rPr>
      </w:pPr>
      <w:r>
        <w:rPr>
          <w:bCs/>
          <w:sz w:val="24"/>
          <w:szCs w:val="24"/>
        </w:rPr>
        <w:t xml:space="preserve">Письменное согласие Бенефициар</w:t>
      </w:r>
      <w:r>
        <w:rPr>
          <w:bCs/>
          <w:sz w:val="24"/>
          <w:szCs w:val="24"/>
        </w:rPr>
        <w:t xml:space="preserve">а на изменение соответствующих условий настоящей гарантии направляется Гаранту до внесения изменений в гарантию. Изменения в условия гарантии вступают в силу с даты их выпуска Гарантом, если иной момент вступления их в силу не определен в таких изменениях.</w:t>
      </w:r>
      <w:r>
        <w:rPr>
          <w:rFonts w:eastAsia="Arial Unicode MS"/>
          <w:color w:val="000000"/>
          <w:sz w:val="24"/>
          <w:szCs w:val="24"/>
        </w:rPr>
      </w:r>
      <w:r>
        <w:rPr>
          <w:rFonts w:eastAsia="Arial Unicode MS"/>
          <w:color w:val="000000"/>
          <w:sz w:val="24"/>
          <w:szCs w:val="24"/>
        </w:rPr>
      </w:r>
    </w:p>
    <w:p>
      <w:pPr>
        <w:ind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Гарант передает сведения о Принципале, определенные ст. 4 Федерального закона от 30.12.200</w:t>
      </w:r>
      <w:r>
        <w:rPr>
          <w:sz w:val="24"/>
          <w:szCs w:val="24"/>
        </w:rPr>
        <w:t xml:space="preserve">4 № 218-ФЗ «О кредитных историях», хотя бы в одно бюро кредитных историй, включенное в государственный реестр бюро кредитных историй, без получения согласий Принципала на их представление в соответствии с требованиями ч. 3.1 и ч. 4 ст. 5 указанного Закона.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Действие настоящей независимой гарантии </w:t>
      </w:r>
      <w:r>
        <w:rPr>
          <w:sz w:val="24"/>
          <w:szCs w:val="24"/>
        </w:rPr>
        <w:t xml:space="preserve">регулируется законодательством Российской Федерации.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contextualSpacing/>
        <w:ind w:firstLine="709"/>
        <w:spacing w:line="240" w:lineRule="auto"/>
        <w:tabs>
          <w:tab w:val="left" w:pos="851" w:leader="none"/>
        </w:tabs>
        <w:rPr>
          <w:rFonts w:eastAsia="Calibri"/>
          <w:sz w:val="24"/>
          <w:szCs w:val="24"/>
        </w:rPr>
      </w:pPr>
      <w:r>
        <w:rPr>
          <w:sz w:val="24"/>
          <w:szCs w:val="24"/>
        </w:rPr>
        <w:t xml:space="preserve">Все споры, возникающие в связи с действительностью, толкованием или исполнением настоящей независимой гарантии, подлежат рассмотрению в Арбитражном суде </w:t>
      </w:r>
      <w:r>
        <w:rPr>
          <w:rFonts w:eastAsia="Calibri"/>
          <w:sz w:val="24"/>
          <w:szCs w:val="24"/>
          <w:lang w:eastAsia="en-US"/>
        </w:rPr>
        <w:t xml:space="preserve">г. Санкт-Петербурга и Ленинградской области***</w:t>
      </w: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</w:p>
    <w:p>
      <w:pPr>
        <w:ind w:firstLine="709"/>
        <w:spacing w:line="240" w:lineRule="auto"/>
        <w:rPr>
          <w:i/>
          <w:sz w:val="24"/>
          <w:szCs w:val="24"/>
        </w:rPr>
      </w:pPr>
      <w:r>
        <w:rPr>
          <w:rFonts w:eastAsia="Arial Unicode MS"/>
          <w:i/>
          <w:sz w:val="24"/>
          <w:szCs w:val="24"/>
        </w:rPr>
        <w:t xml:space="preserve">***Примечание:</w:t>
      </w:r>
      <w:r>
        <w:rPr>
          <w:sz w:val="24"/>
          <w:szCs w:val="24"/>
        </w:rPr>
        <w:t xml:space="preserve"> </w:t>
      </w:r>
      <w:r>
        <w:rPr>
          <w:i/>
          <w:sz w:val="24"/>
          <w:szCs w:val="24"/>
        </w:rPr>
        <w:t xml:space="preserve">При заключении договора в интересах филиала ПАО «Рос</w:t>
      </w:r>
      <w:r>
        <w:rPr>
          <w:i/>
          <w:sz w:val="24"/>
          <w:szCs w:val="24"/>
        </w:rPr>
        <w:t xml:space="preserve">сети Северо-Запад» споры подлежат рассмотрению в арбитражном суде по месту нахождения филиала, при заключении договора в интересах более одного филиала Общества, споры подлежат рассмотрению в Арбитражном суде города Санкт-Петербурга и Ленинградской области</w:t>
      </w:r>
      <w:r>
        <w:rPr>
          <w:i/>
          <w:sz w:val="24"/>
          <w:szCs w:val="24"/>
        </w:rPr>
      </w:r>
      <w:r>
        <w:rPr>
          <w:i/>
          <w:sz w:val="24"/>
          <w:szCs w:val="24"/>
        </w:rPr>
      </w:r>
    </w:p>
    <w:p>
      <w:pPr>
        <w:spacing w:line="240" w:lineRule="auto"/>
        <w:rPr>
          <w:sz w:val="24"/>
          <w:szCs w:val="24"/>
        </w:rPr>
        <w:outlineLvl w:val="0"/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  <w:outlineLvl w:val="0"/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contextualSpacing/>
        <w:ind w:left="720"/>
        <w:spacing w:line="240" w:lineRule="auto"/>
        <w:tabs>
          <w:tab w:val="left" w:pos="851" w:leader="none"/>
        </w:tabs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  <w:lang w:eastAsia="en-US"/>
        </w:rPr>
        <w:t xml:space="preserve">______________________________________                                         ___________(Ф.И.О.) (должность уполномоченного лица Гаранта)                                  (подпись) </w:t>
      </w: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</w:p>
    <w:p>
      <w:pPr>
        <w:contextualSpacing/>
        <w:ind w:left="720"/>
        <w:spacing w:line="240" w:lineRule="auto"/>
        <w:tabs>
          <w:tab w:val="left" w:pos="851" w:leader="none"/>
        </w:tabs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  <w:lang w:eastAsia="en-US"/>
        </w:rPr>
      </w: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bCs/>
          <w:sz w:val="24"/>
          <w:szCs w:val="24"/>
        </w:rPr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jc w:val="left"/>
        <w:spacing w:after="160" w:line="240" w:lineRule="auto"/>
        <w:rPr>
          <w:sz w:val="24"/>
          <w:szCs w:val="24"/>
        </w:rPr>
      </w:pPr>
      <w:r>
        <w:rPr>
          <w:sz w:val="24"/>
          <w:szCs w:val="24"/>
        </w:rPr>
        <w:br w:type="page" w:clear="all"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48"/>
        <w:numPr>
          <w:ilvl w:val="0"/>
          <w:numId w:val="4"/>
        </w:numPr>
        <w:ind w:left="0" w:firstLine="567"/>
        <w:spacing w:before="0" w:after="0" w:line="240" w:lineRule="auto"/>
        <w:rPr>
          <w:rFonts w:eastAsiaTheme="majorEastAsia"/>
          <w:sz w:val="24"/>
          <w:szCs w:val="24"/>
        </w:rPr>
      </w:pPr>
      <w:r/>
      <w:bookmarkStart w:id="376" w:name="_Toc61"/>
      <w:r>
        <w:rPr>
          <w:sz w:val="24"/>
          <w:szCs w:val="24"/>
        </w:rPr>
      </w:r>
      <w:bookmarkStart w:id="315" w:name="_«Требования_к_гарантам»"/>
      <w:r>
        <w:rPr>
          <w:sz w:val="24"/>
          <w:szCs w:val="24"/>
        </w:rPr>
      </w:r>
      <w:bookmarkEnd w:id="315"/>
      <w:r>
        <w:rPr>
          <w:rFonts w:eastAsiaTheme="majorEastAsia"/>
          <w:sz w:val="24"/>
          <w:szCs w:val="24"/>
        </w:rPr>
        <w:t xml:space="preserve">«Требования к гарантам»</w:t>
      </w:r>
      <w:r>
        <w:rPr>
          <w:rFonts w:eastAsiaTheme="majorEastAsia"/>
          <w:sz w:val="24"/>
          <w:szCs w:val="24"/>
        </w:rPr>
      </w:r>
      <w:bookmarkEnd w:id="376"/>
      <w:r>
        <w:rPr>
          <w:rFonts w:eastAsiaTheme="majorEastAsia"/>
          <w:sz w:val="24"/>
          <w:szCs w:val="24"/>
        </w:rPr>
      </w:r>
      <w:r>
        <w:rPr>
          <w:rFonts w:eastAsiaTheme="majorEastAsia"/>
          <w:sz w:val="24"/>
          <w:szCs w:val="24"/>
        </w:rPr>
      </w:r>
    </w:p>
    <w:p>
      <w:pPr>
        <w:ind w:firstLine="709"/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0"/>
        </w:numPr>
        <w:ind w:firstLine="709"/>
        <w:spacing w:after="0" w:line="240" w:lineRule="auto"/>
        <w:widowControl w:val="off"/>
        <w:tabs>
          <w:tab w:val="left" w:pos="993" w:leader="none"/>
        </w:tabs>
        <w:rPr>
          <w:b/>
          <w:bCs/>
          <w:strike/>
          <w:sz w:val="24"/>
          <w:szCs w:val="24"/>
        </w:rPr>
        <w:outlineLvl w:val="2"/>
      </w:pPr>
      <w:r>
        <w:rPr>
          <w:b/>
          <w:bCs/>
          <w:sz w:val="24"/>
          <w:szCs w:val="24"/>
        </w:rPr>
        <w:t xml:space="preserve">1.</w:t>
      </w:r>
      <w:r>
        <w:rPr>
          <w:b/>
          <w:bCs/>
          <w:sz w:val="24"/>
          <w:szCs w:val="24"/>
        </w:rPr>
        <w:t xml:space="preserve">Требования, предъявляемые к гарантам. </w:t>
      </w:r>
      <w:r>
        <w:rPr>
          <w:b/>
          <w:bCs/>
          <w:strike/>
          <w:sz w:val="24"/>
          <w:szCs w:val="24"/>
        </w:rPr>
      </w:r>
      <w:r>
        <w:rPr>
          <w:b/>
          <w:bCs/>
          <w:strike/>
          <w:sz w:val="24"/>
          <w:szCs w:val="24"/>
        </w:rPr>
      </w:r>
    </w:p>
    <w:p>
      <w:pPr>
        <w:ind w:firstLine="709"/>
        <w:spacing w:after="0" w:line="240" w:lineRule="auto"/>
        <w:widowControl w:val="off"/>
        <w:tabs>
          <w:tab w:val="left" w:pos="84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Р</w:t>
      </w:r>
      <w:r>
        <w:rPr>
          <w:sz w:val="24"/>
          <w:szCs w:val="24"/>
        </w:rPr>
        <w:t xml:space="preserve">ешения о принятии независимых гарантий в пользу Общества осуществляются только в отношении гарантий, выданных банками-гарантами, а также коммерческими организациями, отвечающими требованиям, установленным в подпунктах 1.2., 1.3. настоящего раздела.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after="0" w:line="240" w:lineRule="auto"/>
        <w:widowControl w:val="off"/>
        <w:rPr>
          <w:rFonts w:eastAsia="Symbol"/>
          <w:b/>
          <w:strike/>
          <w:sz w:val="24"/>
          <w:szCs w:val="24"/>
        </w:rPr>
        <w:outlineLvl w:val="3"/>
      </w:pPr>
      <w:r>
        <w:rPr>
          <w:rFonts w:eastAsia="Symbol"/>
          <w:b/>
          <w:strike/>
          <w:sz w:val="24"/>
          <w:szCs w:val="24"/>
        </w:rPr>
      </w:r>
      <w:r>
        <w:rPr>
          <w:rFonts w:eastAsia="Symbol"/>
          <w:b/>
          <w:strike/>
          <w:sz w:val="24"/>
          <w:szCs w:val="24"/>
        </w:rPr>
      </w:r>
      <w:r>
        <w:rPr>
          <w:rFonts w:eastAsia="Symbol"/>
          <w:b/>
          <w:strike/>
          <w:sz w:val="24"/>
          <w:szCs w:val="24"/>
        </w:rPr>
      </w:r>
    </w:p>
    <w:p>
      <w:pPr>
        <w:ind w:firstLine="709"/>
        <w:spacing w:after="0" w:line="240" w:lineRule="auto"/>
        <w:widowControl w:val="off"/>
        <w:rPr>
          <w:b/>
          <w:sz w:val="24"/>
          <w:szCs w:val="24"/>
        </w:rPr>
        <w:outlineLvl w:val="3"/>
      </w:pPr>
      <w:r>
        <w:rPr>
          <w:rFonts w:eastAsia="Symbol"/>
          <w:b/>
          <w:sz w:val="24"/>
          <w:szCs w:val="24"/>
        </w:rPr>
        <w:t xml:space="preserve">1.2. Требования к банкам-гарантам для целей принятия независимой гарантии, предоставляемой в рамках договора, заклю</w:t>
      </w:r>
      <w:r>
        <w:rPr>
          <w:rFonts w:eastAsia="Symbol"/>
          <w:b/>
          <w:sz w:val="24"/>
          <w:szCs w:val="24"/>
        </w:rPr>
        <w:t xml:space="preserve">чаемого по результатам закупки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709"/>
        <w:spacing w:after="0" w:line="240" w:lineRule="auto"/>
        <w:widowControl w:val="off"/>
        <w:rPr>
          <w:rFonts w:eastAsia="Symbol"/>
          <w:sz w:val="24"/>
          <w:szCs w:val="24"/>
        </w:rPr>
      </w:pPr>
      <w:r>
        <w:rPr>
          <w:rFonts w:eastAsia="Symbol"/>
          <w:sz w:val="24"/>
          <w:szCs w:val="24"/>
        </w:rPr>
      </w:r>
      <w:r>
        <w:rPr>
          <w:rFonts w:eastAsia="Symbol"/>
          <w:sz w:val="24"/>
          <w:szCs w:val="24"/>
        </w:rPr>
      </w:r>
      <w:r>
        <w:rPr>
          <w:rFonts w:eastAsia="Symbol"/>
          <w:sz w:val="24"/>
          <w:szCs w:val="24"/>
        </w:rPr>
      </w:r>
    </w:p>
    <w:p>
      <w:pPr>
        <w:ind w:firstLine="709"/>
        <w:spacing w:after="0" w:line="240" w:lineRule="auto"/>
        <w:widowControl w:val="off"/>
        <w:tabs>
          <w:tab w:val="left" w:pos="840" w:leader="none"/>
          <w:tab w:val="left" w:pos="1080" w:leader="none"/>
        </w:tabs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 xml:space="preserve">1.2.1. Для кредитных организаций независимо от вида выдаваемой независимой гарантии:</w:t>
      </w:r>
      <w:r>
        <w:rPr>
          <w:sz w:val="24"/>
          <w:szCs w:val="24"/>
          <w:u w:val="single"/>
        </w:rPr>
      </w:r>
      <w:r>
        <w:rPr>
          <w:sz w:val="24"/>
          <w:szCs w:val="24"/>
          <w:u w:val="single"/>
        </w:rPr>
      </w:r>
    </w:p>
    <w:p>
      <w:pPr>
        <w:pStyle w:val="1311"/>
        <w:numPr>
          <w:ilvl w:val="0"/>
          <w:numId w:val="43"/>
        </w:numPr>
        <w:ind w:left="0" w:firstLine="0"/>
        <w:jc w:val="both"/>
        <w:spacing w:after="120" w:line="240" w:lineRule="auto"/>
        <w:tabs>
          <w:tab w:val="left" w:pos="426" w:leader="none"/>
          <w:tab w:val="left" w:pos="709" w:leader="none"/>
          <w:tab w:val="left" w:pos="170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кредитная организация обладает действующей лицензией на банковскую деятельность, выданной Банком России</w:t>
      </w:r>
      <w:r>
        <w:rPr>
          <w:sz w:val="24"/>
          <w:szCs w:val="24"/>
        </w:rPr>
        <w:footnoteReference w:id="9"/>
      </w:r>
      <w:r>
        <w:rPr>
          <w:sz w:val="24"/>
          <w:szCs w:val="24"/>
        </w:rPr>
        <w:t xml:space="preserve">, и в отношении данной кредитной организации отсутствуют какие-либо установленные в индивидуальном порядке Банком России ограничения на проведение отдельных операций</w:t>
      </w:r>
      <w:r>
        <w:rPr>
          <w:sz w:val="24"/>
          <w:szCs w:val="24"/>
        </w:rPr>
        <w:footnoteReference w:id="10"/>
      </w:r>
      <w:r>
        <w:rPr>
          <w:sz w:val="24"/>
          <w:szCs w:val="24"/>
        </w:rPr>
        <w:t xml:space="preserve">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311"/>
        <w:numPr>
          <w:ilvl w:val="0"/>
          <w:numId w:val="43"/>
        </w:numPr>
        <w:ind w:left="0" w:firstLine="0"/>
        <w:jc w:val="both"/>
        <w:spacing w:after="120" w:line="240" w:lineRule="auto"/>
        <w:tabs>
          <w:tab w:val="left" w:pos="426" w:leader="none"/>
          <w:tab w:val="left" w:pos="709" w:leader="none"/>
          <w:tab w:val="left" w:pos="170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кредитная организация не находится в процессе слияния, присоединения, санации (финансового оздоровления), внешнего управления, за исключением случаев, когда</w:t>
      </w:r>
      <w:r>
        <w:rPr>
          <w:sz w:val="24"/>
          <w:szCs w:val="24"/>
        </w:rPr>
        <w:t xml:space="preserve"> финансовое оздоровление кредитной организации осуществляется с привлечением Фонда консолидации банковского сектора, а также в случаях, когда в рамках финансового оздоровления Банком России принято решение о гарантировании непрерывности деятельности банка;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311"/>
        <w:numPr>
          <w:ilvl w:val="0"/>
          <w:numId w:val="43"/>
        </w:numPr>
        <w:ind w:left="0" w:firstLine="0"/>
        <w:jc w:val="both"/>
        <w:spacing w:after="120" w:line="240" w:lineRule="auto"/>
        <w:tabs>
          <w:tab w:val="left" w:pos="426" w:leader="none"/>
          <w:tab w:val="left" w:pos="709" w:leader="none"/>
          <w:tab w:val="left" w:pos="170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кредитная организация не находится в процессе ликвидации или банкротства;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311"/>
        <w:numPr>
          <w:ilvl w:val="0"/>
          <w:numId w:val="43"/>
        </w:numPr>
        <w:ind w:left="0" w:firstLine="0"/>
        <w:jc w:val="both"/>
        <w:spacing w:after="120" w:line="240" w:lineRule="auto"/>
        <w:tabs>
          <w:tab w:val="left" w:pos="426" w:leader="none"/>
          <w:tab w:val="left" w:pos="709" w:leader="none"/>
          <w:tab w:val="left" w:pos="1701" w:leader="none"/>
        </w:tabs>
        <w:rPr>
          <w:bCs/>
          <w:sz w:val="24"/>
          <w:szCs w:val="24"/>
        </w:rPr>
      </w:pPr>
      <w:r>
        <w:rPr>
          <w:sz w:val="24"/>
          <w:szCs w:val="24"/>
        </w:rPr>
        <w:t xml:space="preserve">для банков, банковская лицензия которых предполагает возможность работы с денежными средствами физических лиц – кредитная организация является участником Системы страхования вкладов</w:t>
      </w:r>
      <w:r>
        <w:rPr>
          <w:sz w:val="24"/>
          <w:szCs w:val="24"/>
          <w:vertAlign w:val="superscript"/>
        </w:rPr>
        <w:footnoteReference w:id="11"/>
      </w:r>
      <w:r>
        <w:rPr>
          <w:sz w:val="24"/>
          <w:szCs w:val="24"/>
        </w:rPr>
        <w:t xml:space="preserve">.</w:t>
      </w:r>
      <w:r>
        <w:rPr>
          <w:bCs/>
          <w:color w:val="ff0000"/>
          <w:sz w:val="24"/>
          <w:szCs w:val="24"/>
        </w:rPr>
        <w:t xml:space="preserve">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311"/>
        <w:numPr>
          <w:ilvl w:val="0"/>
          <w:numId w:val="43"/>
        </w:numPr>
        <w:ind w:left="0" w:firstLine="0"/>
        <w:jc w:val="both"/>
        <w:spacing w:after="120" w:line="240" w:lineRule="auto"/>
        <w:tabs>
          <w:tab w:val="left" w:pos="426" w:leader="none"/>
          <w:tab w:val="left" w:pos="709" w:leader="none"/>
          <w:tab w:val="left" w:pos="1701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свободный остаток лимита</w:t>
      </w:r>
      <w:r>
        <w:rPr>
          <w:rStyle w:val="1201"/>
          <w:bCs/>
          <w:sz w:val="24"/>
          <w:szCs w:val="24"/>
        </w:rPr>
        <w:footnoteReference w:id="12"/>
      </w:r>
      <w:r>
        <w:rPr>
          <w:bCs/>
          <w:sz w:val="24"/>
          <w:szCs w:val="24"/>
        </w:rPr>
        <w:t xml:space="preserve"> на банк-гарант, установленный организационно-распорядительными документами ПАО «Россети Северо-Запад», превышает либо равен сумме независимой гарантии, планируемой к принятию</w:t>
      </w:r>
      <w:r>
        <w:rPr>
          <w:rStyle w:val="1201"/>
          <w:bCs/>
          <w:sz w:val="24"/>
          <w:szCs w:val="24"/>
        </w:rPr>
        <w:footnoteReference w:id="13"/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ind w:firstLine="709"/>
        <w:spacing w:after="0" w:line="240" w:lineRule="auto"/>
        <w:widowControl w:val="off"/>
        <w:tabs>
          <w:tab w:val="left" w:pos="1080" w:leader="none"/>
          <w:tab w:val="left" w:pos="1418" w:leader="none"/>
        </w:tabs>
        <w:rPr>
          <w:sz w:val="26"/>
          <w:szCs w:val="26"/>
        </w:rPr>
      </w:pPr>
      <w:r>
        <w:rPr>
          <w:sz w:val="24"/>
          <w:szCs w:val="24"/>
        </w:rPr>
        <w:br w:type="page" w:clear="all"/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709"/>
        <w:spacing w:after="0"/>
        <w:widowControl w:val="off"/>
        <w:tabs>
          <w:tab w:val="left" w:pos="1080" w:leader="none"/>
        </w:tabs>
        <w:rPr>
          <w:u w:val="single"/>
        </w:rPr>
      </w:pPr>
      <w:r>
        <w:rPr>
          <w:u w:val="single"/>
        </w:rPr>
        <w:t xml:space="preserve">1.2.1.1. Требования к банкам-гарантам для отдельных видов гарантий:</w:t>
      </w:r>
      <w:r>
        <w:rPr>
          <w:u w:val="single"/>
        </w:rPr>
      </w:r>
      <w:r>
        <w:rPr>
          <w:u w:val="single"/>
        </w:rPr>
      </w:r>
    </w:p>
    <w:tbl>
      <w:tblPr>
        <w:tblW w:w="10206" w:type="dxa"/>
        <w:tblInd w:w="-5" w:type="dxa"/>
        <w:tbl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color="FFFFFF" w:sz="8" w:space="0"/>
          <w:insideV w:val="single" w:color="FFFFFF" w:sz="8" w:space="0"/>
        </w:tblBorders>
        <w:shd w:val="clear" w:color="auto" w:fill="ced7e7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1"/>
        <w:gridCol w:w="1559"/>
        <w:gridCol w:w="1418"/>
        <w:gridCol w:w="1559"/>
        <w:gridCol w:w="1559"/>
      </w:tblGrid>
      <w:tr>
        <w:tblPrEx/>
        <w:trPr>
          <w:cantSplit/>
          <w:trHeight w:val="2520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4111" w:type="dxa"/>
            <w:textDirection w:val="lrTb"/>
            <w:noWrap w:val="false"/>
          </w:tcPr>
          <w:p>
            <w:pPr>
              <w:spacing w:after="0"/>
              <w:widowControl w:val="off"/>
              <w:tabs>
                <w:tab w:val="left" w:pos="1080" w:leader="none"/>
              </w:tabs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Критерии</w:t>
            </w:r>
            <w:r>
              <w:rPr>
                <w:rStyle w:val="1201"/>
                <w:b/>
                <w:bCs/>
                <w:sz w:val="22"/>
                <w:szCs w:val="22"/>
              </w:rPr>
              <w:footnoteReference w:id="14"/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1559" w:type="dxa"/>
            <w:textDirection w:val="btLr"/>
            <w:noWrap w:val="false"/>
          </w:tcPr>
          <w:p>
            <w:pPr>
              <w:spacing w:after="0"/>
              <w:widowControl w:val="off"/>
              <w:tabs>
                <w:tab w:val="left" w:pos="1080" w:leader="none"/>
              </w:tabs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Независимая гарантия обеспечения заявки участника закупочной процедуры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1418" w:type="dxa"/>
            <w:textDirection w:val="btLr"/>
            <w:noWrap w:val="false"/>
          </w:tcPr>
          <w:p>
            <w:pPr>
              <w:spacing w:after="0"/>
              <w:widowControl w:val="off"/>
              <w:tabs>
                <w:tab w:val="left" w:pos="1080" w:leader="none"/>
              </w:tabs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Независимая гарантия на исполнение контрагентом обязательств по договору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1559" w:type="dxa"/>
            <w:textDirection w:val="btLr"/>
            <w:noWrap w:val="false"/>
          </w:tcPr>
          <w:p>
            <w:pPr>
              <w:spacing w:after="0"/>
              <w:widowControl w:val="off"/>
              <w:tabs>
                <w:tab w:val="left" w:pos="1080" w:leader="none"/>
              </w:tabs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Независимая гарантия на возврат авансовых платежей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1559" w:type="dxa"/>
            <w:textDirection w:val="btLr"/>
            <w:noWrap w:val="false"/>
          </w:tcPr>
          <w:p>
            <w:pPr>
              <w:spacing w:after="0"/>
              <w:widowControl w:val="off"/>
              <w:tabs>
                <w:tab w:val="left" w:pos="1080" w:leader="none"/>
              </w:tabs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Независимая гарантия обеспечения гарантийных обязательств по договору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4111" w:type="dxa"/>
            <w:textDirection w:val="lrTb"/>
            <w:noWrap w:val="false"/>
          </w:tcPr>
          <w:p>
            <w:pPr>
              <w:spacing w:after="0"/>
              <w:widowControl w:val="off"/>
              <w:tabs>
                <w:tab w:val="left" w:pos="1080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Размер собственного капитала банка</w:t>
            </w:r>
            <w:r>
              <w:rPr>
                <w:rStyle w:val="1201"/>
                <w:sz w:val="22"/>
                <w:szCs w:val="22"/>
              </w:rPr>
              <w:footnoteReference w:id="15"/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1559" w:type="dxa"/>
            <w:textDirection w:val="lrTb"/>
            <w:noWrap w:val="false"/>
          </w:tcPr>
          <w:p>
            <w:pPr>
              <w:spacing w:after="0"/>
              <w:widowControl w:val="off"/>
              <w:tabs>
                <w:tab w:val="left" w:pos="1080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 менее </w:t>
            </w:r>
            <w:r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5 млрд руб.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1418" w:type="dxa"/>
            <w:textDirection w:val="lrTb"/>
            <w:noWrap w:val="false"/>
          </w:tcPr>
          <w:p>
            <w:pPr>
              <w:spacing w:after="0"/>
              <w:widowControl w:val="off"/>
              <w:tabs>
                <w:tab w:val="left" w:pos="1080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 менее </w:t>
            </w:r>
            <w:r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10 млрд руб.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1559" w:type="dxa"/>
            <w:textDirection w:val="lrTb"/>
            <w:noWrap w:val="false"/>
          </w:tcPr>
          <w:p>
            <w:pPr>
              <w:spacing w:after="0"/>
              <w:widowControl w:val="off"/>
              <w:tabs>
                <w:tab w:val="left" w:pos="1080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 менее </w:t>
            </w:r>
            <w:r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10 млрд руб.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1559" w:type="dxa"/>
            <w:textDirection w:val="lrTb"/>
            <w:noWrap w:val="false"/>
          </w:tcPr>
          <w:p>
            <w:pPr>
              <w:spacing w:after="0"/>
              <w:widowControl w:val="off"/>
              <w:tabs>
                <w:tab w:val="left" w:pos="1080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 менее </w:t>
            </w:r>
            <w:r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10 млрд руб.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4111" w:type="dxa"/>
            <w:textDirection w:val="lrTb"/>
            <w:noWrap w:val="false"/>
          </w:tcPr>
          <w:p>
            <w:pPr>
              <w:spacing w:after="0"/>
              <w:widowControl w:val="off"/>
              <w:tabs>
                <w:tab w:val="left" w:pos="1080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Кредитная организация входит в перечень банков, соответствующих требованиям ст. 2 Федерального закона от 21.07.2014 № 213-ФЗ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1559" w:type="dxa"/>
            <w:textDirection w:val="lrTb"/>
            <w:noWrap w:val="false"/>
          </w:tcPr>
          <w:p>
            <w:pPr>
              <w:spacing w:after="0"/>
              <w:widowControl w:val="off"/>
              <w:tabs>
                <w:tab w:val="left" w:pos="1080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 применяется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1418" w:type="dxa"/>
            <w:textDirection w:val="lrTb"/>
            <w:noWrap w:val="false"/>
          </w:tcPr>
          <w:p>
            <w:pPr>
              <w:spacing w:after="0"/>
              <w:widowControl w:val="off"/>
              <w:tabs>
                <w:tab w:val="left" w:pos="1080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Обязательный критерий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1559" w:type="dxa"/>
            <w:textDirection w:val="lrTb"/>
            <w:noWrap w:val="false"/>
          </w:tcPr>
          <w:p>
            <w:pPr>
              <w:spacing w:after="0"/>
              <w:widowControl w:val="off"/>
              <w:tabs>
                <w:tab w:val="left" w:pos="1080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Обязательный критерий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1559" w:type="dxa"/>
            <w:textDirection w:val="lrTb"/>
            <w:noWrap w:val="false"/>
          </w:tcPr>
          <w:p>
            <w:pPr>
              <w:spacing w:after="0"/>
              <w:widowControl w:val="off"/>
              <w:tabs>
                <w:tab w:val="left" w:pos="1080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Обязательный критерий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4111" w:type="dxa"/>
            <w:textDirection w:val="lrTb"/>
            <w:noWrap w:val="false"/>
          </w:tcPr>
          <w:p>
            <w:pPr>
              <w:spacing w:after="0"/>
              <w:widowControl w:val="off"/>
              <w:tabs>
                <w:tab w:val="left" w:pos="1080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Кредитная организация входит в перечень банков, отвечающих требованиям для принятия банковских гарантий в целях налогообложения (в соответствии со статьей 74.1 Налогового кодекса)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1559" w:type="dxa"/>
            <w:textDirection w:val="lrTb"/>
            <w:noWrap w:val="false"/>
          </w:tcPr>
          <w:p>
            <w:pPr>
              <w:spacing w:after="0"/>
              <w:widowControl w:val="off"/>
              <w:tabs>
                <w:tab w:val="left" w:pos="1080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Обязательный критерий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1418" w:type="dxa"/>
            <w:textDirection w:val="lrTb"/>
            <w:noWrap w:val="false"/>
          </w:tcPr>
          <w:p>
            <w:pPr>
              <w:spacing w:after="0"/>
              <w:widowControl w:val="off"/>
              <w:tabs>
                <w:tab w:val="left" w:pos="1080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Обязательный критерий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1559" w:type="dxa"/>
            <w:textDirection w:val="lrTb"/>
            <w:noWrap w:val="false"/>
          </w:tcPr>
          <w:p>
            <w:pPr>
              <w:spacing w:after="0"/>
              <w:widowControl w:val="off"/>
              <w:tabs>
                <w:tab w:val="left" w:pos="1080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Обязательный критерий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1559" w:type="dxa"/>
            <w:textDirection w:val="lrTb"/>
            <w:noWrap w:val="false"/>
          </w:tcPr>
          <w:p>
            <w:pPr>
              <w:spacing w:after="0"/>
              <w:widowControl w:val="off"/>
              <w:tabs>
                <w:tab w:val="left" w:pos="1080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Обязательный критерий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4111" w:type="dxa"/>
            <w:textDirection w:val="lrTb"/>
            <w:noWrap w:val="false"/>
          </w:tcPr>
          <w:p>
            <w:pPr>
              <w:spacing w:after="0"/>
              <w:widowControl w:val="off"/>
              <w:tabs>
                <w:tab w:val="left" w:pos="1080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Наличие долгосрочного кредитного рейтинга (в соответствии с п.1.2.1.2.)</w:t>
            </w:r>
            <w:r>
              <w:rPr>
                <w:sz w:val="22"/>
                <w:szCs w:val="22"/>
                <w:vertAlign w:val="superscript"/>
              </w:rPr>
              <w:t xml:space="preserve">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1559" w:type="dxa"/>
            <w:textDirection w:val="lrTb"/>
            <w:noWrap w:val="false"/>
          </w:tcPr>
          <w:p>
            <w:pPr>
              <w:spacing w:after="0"/>
              <w:widowControl w:val="off"/>
              <w:tabs>
                <w:tab w:val="left" w:pos="1080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 применяется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1418" w:type="dxa"/>
            <w:textDirection w:val="lrTb"/>
            <w:noWrap w:val="false"/>
          </w:tcPr>
          <w:p>
            <w:pPr>
              <w:spacing w:after="0"/>
              <w:widowControl w:val="off"/>
              <w:tabs>
                <w:tab w:val="left" w:pos="1080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 применяется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1559" w:type="dxa"/>
            <w:textDirection w:val="lrTb"/>
            <w:noWrap w:val="false"/>
          </w:tcPr>
          <w:p>
            <w:pPr>
              <w:spacing w:after="0"/>
              <w:widowControl w:val="off"/>
              <w:tabs>
                <w:tab w:val="left" w:pos="1080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Для независимых гарантий с суммой более 15 млн руб.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1559" w:type="dxa"/>
            <w:textDirection w:val="lrTb"/>
            <w:noWrap w:val="false"/>
          </w:tcPr>
          <w:p>
            <w:pPr>
              <w:spacing w:after="0"/>
              <w:widowControl w:val="off"/>
              <w:tabs>
                <w:tab w:val="left" w:pos="1080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Для независимых гарантий с суммой более 15 млн руб.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</w:tbl>
    <w:p>
      <w:pPr>
        <w:ind w:firstLine="709"/>
        <w:spacing w:after="0"/>
        <w:widowControl w:val="off"/>
        <w:tabs>
          <w:tab w:val="left" w:pos="1080" w:leader="none"/>
        </w:tabs>
        <w:rPr>
          <w:u w:val="single"/>
        </w:rPr>
      </w:pPr>
      <w:r>
        <w:rPr>
          <w:u w:val="single"/>
        </w:rPr>
        <w:t xml:space="preserve">1.2.1.2. Требования к наличию долгосрочного кредитного рейтинга банка-гаранта.</w:t>
      </w:r>
      <w:r>
        <w:rPr>
          <w:u w:val="single"/>
        </w:rPr>
      </w:r>
      <w:r>
        <w:rPr>
          <w:u w:val="single"/>
        </w:rPr>
      </w:r>
    </w:p>
    <w:p>
      <w:pPr>
        <w:ind w:firstLine="709"/>
        <w:spacing w:after="0"/>
        <w:widowControl w:val="off"/>
        <w:tabs>
          <w:tab w:val="left" w:pos="1080" w:leader="none"/>
          <w:tab w:val="left" w:pos="3960" w:leader="none"/>
        </w:tabs>
        <w:rPr>
          <w:rFonts w:eastAsia="Symbol"/>
        </w:rPr>
      </w:pPr>
      <w:r>
        <w:t xml:space="preserve">Наличие долгосрочного кредитного рейтинга по национальной шкале, присвоенного аккредитованными Банком России рейтинговыми агентствами</w:t>
      </w:r>
      <w:r>
        <w:rPr>
          <w:rStyle w:val="1201"/>
        </w:rPr>
        <w:footnoteReference w:id="16"/>
      </w:r>
      <w:r>
        <w:t xml:space="preserve">. При наличии у банка нескольких рейтингов учитывается наилучший. Требования к уровню рейтинга, приемлемого для принятия независимой гарантии, приведены ниже в таблице</w:t>
      </w:r>
      <w:r>
        <w:rPr>
          <w:rStyle w:val="1201"/>
        </w:rPr>
        <w:footnoteReference w:id="17"/>
      </w:r>
      <w:r>
        <w:t xml:space="preserve">.</w:t>
      </w:r>
      <w:r>
        <w:rPr>
          <w:rFonts w:eastAsia="Symbol"/>
        </w:rPr>
      </w:r>
      <w:r>
        <w:rPr>
          <w:rFonts w:eastAsia="Symbol"/>
        </w:rPr>
      </w:r>
    </w:p>
    <w:tbl>
      <w:tblPr>
        <w:tblW w:w="9639" w:type="dxa"/>
        <w:jc w:val="center"/>
        <w:tbl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color="FFFFFF" w:sz="8" w:space="0"/>
          <w:insideV w:val="single" w:color="FFFFFF" w:sz="8" w:space="0"/>
        </w:tblBorders>
        <w:shd w:val="clear" w:color="auto" w:fill="4f81bd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2"/>
        <w:gridCol w:w="2129"/>
        <w:gridCol w:w="2794"/>
        <w:gridCol w:w="2314"/>
      </w:tblGrid>
      <w:tr>
        <w:tblPrEx/>
        <w:trPr>
          <w:jc w:val="center"/>
          <w:trHeight w:val="300"/>
          <w:tblHeader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80" w:type="dxa"/>
              <w:top w:w="0" w:type="dxa"/>
              <w:right w:w="80" w:type="dxa"/>
              <w:bottom w:w="0" w:type="dxa"/>
            </w:tcMar>
            <w:tcW w:w="3561" w:type="dxa"/>
            <w:vAlign w:val="center"/>
            <w:textDirection w:val="lrTb"/>
            <w:noWrap w:val="false"/>
          </w:tcPr>
          <w:p>
            <w:pPr>
              <w:spacing w:after="0"/>
              <w:widowControl w:val="off"/>
              <w:tabs>
                <w:tab w:val="left" w:pos="840" w:leader="none"/>
              </w:tabs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АКРА (АО)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80" w:type="dxa"/>
              <w:top w:w="0" w:type="dxa"/>
              <w:right w:w="80" w:type="dxa"/>
              <w:bottom w:w="0" w:type="dxa"/>
            </w:tcMar>
            <w:tcW w:w="3145" w:type="dxa"/>
            <w:vAlign w:val="center"/>
            <w:textDirection w:val="lrTb"/>
            <w:noWrap w:val="false"/>
          </w:tcPr>
          <w:p>
            <w:pPr>
              <w:spacing w:after="0"/>
              <w:widowControl w:val="off"/>
              <w:tabs>
                <w:tab w:val="left" w:pos="840" w:leader="none"/>
              </w:tabs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АО «Эксперт РА»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14" w:type="dxa"/>
              <w:top w:w="0" w:type="dxa"/>
              <w:right w:w="80" w:type="dxa"/>
              <w:bottom w:w="0" w:type="dxa"/>
            </w:tcMar>
            <w:tcW w:w="3879" w:type="dxa"/>
            <w:vAlign w:val="center"/>
            <w:textDirection w:val="lrTb"/>
            <w:noWrap w:val="false"/>
          </w:tcPr>
          <w:p>
            <w:pPr>
              <w:spacing w:after="0"/>
              <w:widowControl w:val="off"/>
              <w:tabs>
                <w:tab w:val="left" w:pos="840" w:leader="none"/>
              </w:tabs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ООО «НКР»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80" w:type="dxa"/>
              <w:top w:w="0" w:type="dxa"/>
              <w:right w:w="80" w:type="dxa"/>
              <w:bottom w:w="0" w:type="dxa"/>
            </w:tcMar>
            <w:tcW w:w="3427" w:type="dxa"/>
            <w:vAlign w:val="center"/>
            <w:textDirection w:val="lrTb"/>
            <w:noWrap w:val="false"/>
          </w:tcPr>
          <w:p>
            <w:pPr>
              <w:spacing w:after="0"/>
              <w:widowControl w:val="off"/>
              <w:tabs>
                <w:tab w:val="left" w:pos="840" w:leader="none"/>
              </w:tabs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ООО «НРА»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jc w:val="center"/>
          <w:trHeight w:val="300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80" w:type="dxa"/>
              <w:top w:w="0" w:type="dxa"/>
              <w:right w:w="80" w:type="dxa"/>
              <w:bottom w:w="0" w:type="dxa"/>
            </w:tcMar>
            <w:tcW w:w="3561" w:type="dxa"/>
            <w:vAlign w:val="center"/>
            <w:textDirection w:val="lrTb"/>
            <w:noWrap w:val="false"/>
          </w:tcPr>
          <w:p>
            <w:pPr>
              <w:spacing w:after="0"/>
              <w:widowControl w:val="off"/>
              <w:tabs>
                <w:tab w:val="left" w:pos="84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ниже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 xml:space="preserve">BBB-(RU)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80" w:type="dxa"/>
              <w:top w:w="0" w:type="dxa"/>
              <w:right w:w="80" w:type="dxa"/>
              <w:bottom w:w="0" w:type="dxa"/>
            </w:tcMar>
            <w:tcW w:w="3145" w:type="dxa"/>
            <w:vAlign w:val="center"/>
            <w:textDirection w:val="lrTb"/>
            <w:noWrap w:val="false"/>
          </w:tcPr>
          <w:p>
            <w:pPr>
              <w:spacing w:after="0"/>
              <w:widowControl w:val="off"/>
              <w:tabs>
                <w:tab w:val="left" w:pos="84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ниже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 xml:space="preserve">ruBBB-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80" w:type="dxa"/>
              <w:top w:w="0" w:type="dxa"/>
              <w:right w:w="80" w:type="dxa"/>
              <w:bottom w:w="0" w:type="dxa"/>
            </w:tcMar>
            <w:tcW w:w="3879" w:type="dxa"/>
            <w:vAlign w:val="center"/>
            <w:textDirection w:val="lrTb"/>
            <w:noWrap w:val="false"/>
          </w:tcPr>
          <w:p>
            <w:pPr>
              <w:spacing w:after="0"/>
              <w:widowControl w:val="off"/>
              <w:tabs>
                <w:tab w:val="left" w:pos="84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ниже BBB-.ru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80" w:type="dxa"/>
              <w:top w:w="0" w:type="dxa"/>
              <w:right w:w="80" w:type="dxa"/>
              <w:bottom w:w="0" w:type="dxa"/>
            </w:tcMar>
            <w:tcW w:w="3427" w:type="dxa"/>
            <w:vAlign w:val="center"/>
            <w:textDirection w:val="lrTb"/>
            <w:noWrap w:val="false"/>
          </w:tcPr>
          <w:p>
            <w:pPr>
              <w:spacing w:after="0"/>
              <w:widowControl w:val="off"/>
              <w:tabs>
                <w:tab w:val="left" w:pos="84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ниже BBB-|ru|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</w:tbl>
    <w:p>
      <w:pPr>
        <w:ind w:firstLine="709"/>
        <w:spacing w:after="0"/>
        <w:widowControl w:val="off"/>
        <w:tabs>
          <w:tab w:val="left" w:pos="1134" w:leader="none"/>
          <w:tab w:val="left" w:pos="1701" w:leader="none"/>
        </w:tabs>
      </w:pPr>
      <w:r>
        <w:t xml:space="preserve">1.2.1.3. В случае снижения рейтинга (ниже минимально допустимого в соответствии с п. 1.2.1.2. уровня) принятие новых гарантий банка приостанавливается.</w:t>
      </w:r>
      <w:r/>
    </w:p>
    <w:p>
      <w:pPr>
        <w:ind w:firstLine="709"/>
        <w:spacing w:after="0" w:line="240" w:lineRule="auto"/>
        <w:widowControl w:val="off"/>
        <w:tabs>
          <w:tab w:val="left" w:pos="1134" w:leader="none"/>
          <w:tab w:val="left" w:pos="1701" w:leader="none"/>
        </w:tabs>
        <w:rPr>
          <w:sz w:val="24"/>
          <w:szCs w:val="24"/>
        </w:rPr>
      </w:pPr>
      <w:r>
        <w:t xml:space="preserve">1.2.1.4. В случае снижения собственного капитала банка, приведшего к превышению объема фактически выбранных независимых гарантий над установленным лимитом, принятие новых гарантий бан</w:t>
      </w:r>
      <w:r>
        <w:rPr>
          <w:sz w:val="24"/>
          <w:szCs w:val="24"/>
        </w:rPr>
        <w:t xml:space="preserve">ка приостанавливается.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after="0" w:line="240" w:lineRule="auto"/>
        <w:widowControl w:val="off"/>
        <w:tabs>
          <w:tab w:val="left" w:pos="1134" w:leader="none"/>
          <w:tab w:val="left" w:pos="170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1.2.1.5. В случае если банк перестает удовлетворять критериям, указанным в п. 1.</w:t>
      </w:r>
      <w:r>
        <w:rPr>
          <w:sz w:val="24"/>
          <w:szCs w:val="24"/>
        </w:rPr>
        <w:t xml:space="preserve">2.</w:t>
      </w:r>
      <w:r>
        <w:rPr>
          <w:sz w:val="24"/>
          <w:szCs w:val="24"/>
        </w:rPr>
        <w:t xml:space="preserve"> настоящих Требований, выданные банком гарантии подлежат замене.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left"/>
        <w:spacing w:after="160" w:line="240" w:lineRule="auto"/>
        <w:rPr>
          <w:sz w:val="24"/>
          <w:szCs w:val="24"/>
        </w:rPr>
      </w:pPr>
      <w:r>
        <w:rPr>
          <w:sz w:val="24"/>
          <w:szCs w:val="24"/>
        </w:rPr>
        <w:br w:type="page" w:clear="all"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after="0"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after="0" w:line="240" w:lineRule="auto"/>
        <w:widowControl w:val="off"/>
        <w:rPr>
          <w:b/>
          <w:sz w:val="24"/>
          <w:szCs w:val="24"/>
        </w:rPr>
        <w:outlineLvl w:val="3"/>
      </w:pPr>
      <w:r>
        <w:rPr>
          <w:sz w:val="24"/>
          <w:szCs w:val="24"/>
        </w:rPr>
      </w:r>
      <w:r>
        <w:rPr>
          <w:b/>
          <w:sz w:val="24"/>
          <w:szCs w:val="24"/>
        </w:rPr>
        <w:t xml:space="preserve">1.3. Требования к гарантам/поручителям, не яв</w:t>
      </w:r>
      <w:r>
        <w:rPr>
          <w:b/>
          <w:sz w:val="24"/>
          <w:szCs w:val="24"/>
        </w:rPr>
        <w:t xml:space="preserve">ляющимися банками или иными кредитными организациями, и критерии установления лимита риска на принятие независимых гарантий и/или договоров поручительства от таких гарантов/поручителей, предоставляемых в рамках договоров, заключаемых по результатам закупок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709"/>
        <w:spacing w:after="0" w:line="240" w:lineRule="auto"/>
        <w:widowControl w:val="off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numPr>
          <w:ilvl w:val="2"/>
          <w:numId w:val="42"/>
        </w:numPr>
        <w:contextualSpacing/>
        <w:ind w:left="0" w:firstLine="709"/>
        <w:spacing w:after="0" w:line="240" w:lineRule="auto"/>
        <w:widowControl w:val="off"/>
        <w:tabs>
          <w:tab w:val="left" w:pos="42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Гарант/поручитель входит в перечень организаций, утвержденный распоряжением Правительства Российской Федерации от 23.01.2003 № 91-р «Об утверждении перечней акционерных</w:t>
      </w:r>
      <w:r>
        <w:rPr>
          <w:sz w:val="24"/>
          <w:szCs w:val="24"/>
        </w:rPr>
        <w:t xml:space="preserve"> обществ, предусмотренных проектом постановления Правительства Российской Федерации «О порядке управления находящимися в федеральной собственности акциями открытых акционерных обществ, созданных в процессе приватизации, и использовании специального права Р</w:t>
      </w:r>
      <w:r>
        <w:rPr>
          <w:sz w:val="24"/>
          <w:szCs w:val="24"/>
        </w:rPr>
        <w:t xml:space="preserve">оссийской Федерации на участие в управлении открытыми акционерными обществами («золотой акции»)» или является дочерним обществом организации, входящей в обозначенный перечень, с долей участия организации в уставном капитале дочернего общества не менее 50%.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2"/>
          <w:numId w:val="42"/>
        </w:numPr>
        <w:contextualSpacing/>
        <w:ind w:left="0" w:firstLine="709"/>
        <w:spacing w:after="0" w:line="240" w:lineRule="auto"/>
        <w:widowControl w:val="off"/>
        <w:tabs>
          <w:tab w:val="left" w:pos="709" w:leader="none"/>
        </w:tabs>
        <w:rPr>
          <w:spacing w:val="-4"/>
          <w:sz w:val="24"/>
          <w:szCs w:val="24"/>
        </w:rPr>
      </w:pPr>
      <w:r>
        <w:rPr>
          <w:spacing w:val="-4"/>
          <w:sz w:val="24"/>
          <w:szCs w:val="24"/>
        </w:rPr>
        <w:t xml:space="preserve">Размер чистых активов гаранта/поручителя составляет не менее 300 млрд руб.</w:t>
      </w:r>
      <w:r>
        <w:rPr>
          <w:spacing w:val="-4"/>
          <w:sz w:val="24"/>
          <w:szCs w:val="24"/>
        </w:rPr>
      </w:r>
      <w:r>
        <w:rPr>
          <w:spacing w:val="-4"/>
          <w:sz w:val="24"/>
          <w:szCs w:val="24"/>
        </w:rPr>
      </w:r>
    </w:p>
    <w:p>
      <w:pPr>
        <w:numPr>
          <w:ilvl w:val="2"/>
          <w:numId w:val="42"/>
        </w:numPr>
        <w:contextualSpacing/>
        <w:ind w:left="0" w:firstLine="709"/>
        <w:spacing w:after="0" w:line="240" w:lineRule="auto"/>
        <w:widowControl w:val="off"/>
        <w:tabs>
          <w:tab w:val="left" w:pos="709" w:leader="none"/>
        </w:tabs>
        <w:rPr>
          <w:sz w:val="24"/>
          <w:szCs w:val="24"/>
        </w:rPr>
      </w:pPr>
      <w:r>
        <w:rPr>
          <w:spacing w:val="-4"/>
          <w:sz w:val="24"/>
          <w:szCs w:val="24"/>
        </w:rPr>
        <w:t xml:space="preserve">Общая сумма обязательств гаранта/поручителя по предоставленным в пользу</w:t>
      </w:r>
      <w:r>
        <w:rPr>
          <w:i/>
          <w:iCs/>
          <w:sz w:val="24"/>
          <w:szCs w:val="24"/>
        </w:rPr>
        <w:t xml:space="preserve"> </w:t>
      </w:r>
      <w:r>
        <w:rPr>
          <w:i/>
          <w:iCs/>
          <w:sz w:val="24"/>
          <w:szCs w:val="24"/>
        </w:rPr>
        <w:br/>
      </w:r>
      <w:r>
        <w:rPr>
          <w:bCs/>
          <w:i/>
          <w:iCs/>
          <w:sz w:val="24"/>
          <w:szCs w:val="24"/>
        </w:rPr>
        <w:t xml:space="preserve">ПАО «Россети Северо-Запад»</w:t>
      </w:r>
      <w:r>
        <w:rPr>
          <w:i/>
          <w:iCs/>
          <w:sz w:val="24"/>
          <w:szCs w:val="24"/>
        </w:rPr>
        <w:t xml:space="preserve"> </w:t>
      </w:r>
      <w:r>
        <w:rPr>
          <w:sz w:val="24"/>
          <w:szCs w:val="24"/>
        </w:rPr>
        <w:t xml:space="preserve">независимым гарантиям/поручительствам в совокупности с пределом ответственности по финансовому обеспечению, планируемому к принятию, не превышает 10 процентов от чистых активов такого лица на последнюю отчетную дату.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2"/>
          <w:numId w:val="42"/>
        </w:numPr>
        <w:contextualSpacing/>
        <w:ind w:left="0" w:firstLine="709"/>
        <w:spacing w:after="0" w:line="240" w:lineRule="auto"/>
        <w:widowControl w:val="off"/>
        <w:tabs>
          <w:tab w:val="left" w:pos="709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Гарантом/поручителем представлены сведения в </w:t>
      </w:r>
      <w:r>
        <w:rPr>
          <w:bCs/>
          <w:i/>
          <w:iCs/>
          <w:sz w:val="24"/>
          <w:szCs w:val="24"/>
        </w:rPr>
        <w:t xml:space="preserve">ПАО «Россети Северо-Запад»</w:t>
      </w:r>
      <w:r>
        <w:rPr>
          <w:sz w:val="24"/>
          <w:szCs w:val="24"/>
        </w:rPr>
        <w:t xml:space="preserve">, подтве</w:t>
      </w:r>
      <w:r>
        <w:rPr>
          <w:sz w:val="24"/>
          <w:szCs w:val="24"/>
        </w:rPr>
        <w:t xml:space="preserve">рждающие платежеспособность организации (ежегодная или квартальная бухгалтерская (финансовая) отчетность на последнюю отчетную дату) (в копиях с отметкой Федеральной налоговой службы, заверенных печатью организации и подписанных руководителем организации).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2"/>
          <w:numId w:val="42"/>
        </w:numPr>
        <w:contextualSpacing/>
        <w:ind w:left="0" w:firstLine="709"/>
        <w:spacing w:after="0" w:line="240" w:lineRule="auto"/>
        <w:widowControl w:val="off"/>
        <w:tabs>
          <w:tab w:val="left" w:pos="567" w:leader="none"/>
        </w:tabs>
        <w:rPr>
          <w:rFonts w:eastAsiaTheme="minorHAnsi"/>
          <w:sz w:val="24"/>
          <w:szCs w:val="24"/>
        </w:rPr>
      </w:pPr>
      <w:r>
        <w:rPr>
          <w:sz w:val="24"/>
          <w:szCs w:val="24"/>
        </w:rPr>
        <w:t xml:space="preserve">Организация не находится в процессе осуществления реорганизации юридического лица, ликвидации или банкротства.</w:t>
      </w:r>
      <w:r>
        <w:rPr>
          <w:rFonts w:eastAsiaTheme="minorHAnsi"/>
          <w:sz w:val="24"/>
          <w:szCs w:val="24"/>
        </w:rPr>
      </w:r>
      <w:r>
        <w:rPr>
          <w:rFonts w:eastAsiaTheme="minorHAnsi"/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sectPr>
      <w:footnotePr/>
      <w:endnotePr/>
      <w:type w:val="nextPage"/>
      <w:pgSz w:w="11906" w:h="16838" w:orient="portrait"/>
      <w:pgMar w:top="902" w:right="567" w:bottom="1077" w:left="1134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/>
      </w:pPr>
      <w:r>
        <w:separator/>
      </w:r>
      <w:r/>
    </w:p>
  </w:endnote>
  <w:endnote w:type="continuationSeparator" w:id="0">
    <w:p>
      <w:pPr>
        <w:spacing w:after="0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 Math">
    <w:panose1 w:val="02040503050406030204"/>
  </w:font>
  <w:font w:name="Arial (WT)">
    <w:panose1 w:val="020B0604020202020204"/>
  </w:font>
  <w:font w:name="Wingdings">
    <w:panose1 w:val="05000000000000000000"/>
  </w:font>
  <w:font w:name="Symbol">
    <w:panose1 w:val="05050102010706020507"/>
  </w:font>
  <w:font w:name="Proxima Nova ExCn Rg">
    <w:panose1 w:val="02000603000000000000"/>
  </w:font>
  <w:font w:name="MS Mincho">
    <w:panose1 w:val="02020503050405090304"/>
  </w:font>
  <w:font w:name="Courier New">
    <w:panose1 w:val="02070309020205020404"/>
  </w:font>
  <w:font w:name="Cambria">
    <w:panose1 w:val="02040503050406030204"/>
  </w:font>
  <w:font w:name="Calibri">
    <w:panose1 w:val="020F0502020204030204"/>
  </w:font>
  <w:font w:name="Times New Roman">
    <w:panose1 w:val="02020603050405020304"/>
  </w:font>
  <w:font w:name="Arial Unicode MS">
    <w:panose1 w:val="020B0604020202020204"/>
  </w:font>
  <w:font w:name="Arial">
    <w:panose1 w:val="020B060402020202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205"/>
      <w:rPr>
        <w:rStyle w:val="1204"/>
      </w:rPr>
      <w:framePr w:wrap="auto" w:vAnchor="text" w:hAnchor="margin" w:xAlign="right" w:y="1"/>
    </w:pPr>
    <w:r>
      <w:rPr>
        <w:rStyle w:val="1204"/>
      </w:rPr>
      <w:fldChar w:fldCharType="begin"/>
    </w:r>
    <w:r>
      <w:rPr>
        <w:rStyle w:val="1204"/>
      </w:rPr>
      <w:instrText xml:space="preserve">PAGE  </w:instrText>
    </w:r>
    <w:r>
      <w:rPr>
        <w:rStyle w:val="1204"/>
      </w:rPr>
      <w:fldChar w:fldCharType="separate"/>
    </w:r>
    <w:r>
      <w:rPr>
        <w:rStyle w:val="1204"/>
      </w:rPr>
      <w:t xml:space="preserve">19</w:t>
    </w:r>
    <w:r>
      <w:rPr>
        <w:rStyle w:val="1204"/>
      </w:rPr>
      <w:fldChar w:fldCharType="end"/>
    </w:r>
    <w:r>
      <w:rPr>
        <w:rStyle w:val="1204"/>
      </w:rPr>
    </w:r>
    <w:r>
      <w:rPr>
        <w:rStyle w:val="1204"/>
      </w:rPr>
    </w:r>
  </w:p>
  <w:p>
    <w:pPr>
      <w:pStyle w:val="1205"/>
      <w:ind w:right="360"/>
      <w:jc w:val="center"/>
      <w:tabs>
        <w:tab w:val="right" w:pos="9840" w:leader="none"/>
      </w:tabs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/>
      </w:pPr>
      <w:r>
        <w:separator/>
      </w:r>
      <w:r/>
    </w:p>
  </w:footnote>
  <w:footnote w:type="continuationSeparator" w:id="0">
    <w:p>
      <w:pPr>
        <w:spacing w:after="0"/>
      </w:pPr>
      <w:r>
        <w:continuationSeparator/>
      </w:r>
      <w:r/>
    </w:p>
  </w:footnote>
  <w:footnote w:id="2">
    <w:p>
      <w:pPr>
        <w:pStyle w:val="1202"/>
      </w:pPr>
      <w:r>
        <w:rPr>
          <w:rStyle w:val="1201"/>
        </w:rPr>
        <w:footnoteRef/>
      </w:r>
      <w:r>
        <w:rPr>
          <w:rFonts w:eastAsiaTheme="minorHAnsi"/>
          <w:lang w:eastAsia="en-US"/>
        </w:rPr>
        <w:t xml:space="preserve">Данный абзац следует исключить из текста заявки в случае подачи заявки физическим лицом, а также в случае, если участнику процедуры закупки требуется получение указанного решения. </w:t>
      </w:r>
      <w:r>
        <w:rPr>
          <w:rFonts w:eastAsiaTheme="minorHAnsi"/>
          <w:shd w:val="clear" w:color="auto" w:fill="b4c6e7" w:themeFill="accent5" w:themeFillTint="66"/>
          <w:lang w:eastAsia="en-US"/>
        </w:rPr>
        <w:t xml:space="preserve">ВНИМАНИЕ! В последнем случае копия такого решения предоставляется при заключении договора</w:t>
      </w:r>
      <w:r>
        <w:rPr>
          <w:rFonts w:eastAsiaTheme="minorHAnsi"/>
          <w:lang w:eastAsia="en-US"/>
        </w:rPr>
        <w:t xml:space="preserve">.</w:t>
      </w:r>
      <w:r/>
    </w:p>
  </w:footnote>
  <w:footnote w:id="3">
    <w:p>
      <w:pPr>
        <w:pStyle w:val="1202"/>
      </w:pPr>
      <w:r>
        <w:rPr>
          <w:rStyle w:val="1201"/>
        </w:rPr>
        <w:footnoteRef/>
      </w:r>
      <w:r>
        <w:rPr>
          <w:rFonts w:eastAsiaTheme="minorHAnsi"/>
          <w:lang w:eastAsia="en-US"/>
        </w:rPr>
        <w:t xml:space="preserve">Данный абзац следует исключить из текста заявки в случае подачи заявки физическим лицом, а также в случае, если участнику процедуры закупки требуется получение указанного решения. </w:t>
      </w:r>
      <w:r>
        <w:rPr>
          <w:rFonts w:eastAsiaTheme="minorHAnsi"/>
          <w:shd w:val="clear" w:color="auto" w:fill="b4c6e7" w:themeFill="accent5" w:themeFillTint="66"/>
          <w:lang w:eastAsia="en-US"/>
        </w:rPr>
        <w:t xml:space="preserve">ВНИМАНИЕ! В последнем случае копия такого решения предоставляется при заключении договора</w:t>
      </w:r>
      <w:r>
        <w:rPr>
          <w:rFonts w:eastAsiaTheme="minorHAnsi"/>
          <w:lang w:eastAsia="en-US"/>
        </w:rPr>
        <w:t xml:space="preserve">.</w:t>
      </w:r>
      <w:r/>
    </w:p>
  </w:footnote>
  <w:footnote w:id="4">
    <w:p>
      <w:pPr>
        <w:pStyle w:val="1202"/>
      </w:pPr>
      <w:r>
        <w:rPr>
          <w:rStyle w:val="1201"/>
        </w:rPr>
        <w:footnoteRef/>
      </w:r>
      <w:r>
        <w:t xml:space="preserve"> </w:t>
      </w:r>
      <w:r>
        <w:rPr>
          <w:rFonts w:eastAsiaTheme="minorHAnsi"/>
          <w:lang w:eastAsia="en-US"/>
        </w:rPr>
        <w:t xml:space="preserve">Данный абзац следует исключить из текста заявки в случае </w:t>
      </w:r>
      <w:r>
        <w:rPr>
          <w:rFonts w:eastAsiaTheme="minorHAnsi"/>
          <w:lang w:eastAsia="en-US"/>
        </w:rPr>
        <w:t xml:space="preserve">подачи заявки физическим лицом.</w:t>
      </w:r>
      <w:r/>
    </w:p>
  </w:footnote>
  <w:footnote w:id="5">
    <w:p>
      <w:pPr>
        <w:pStyle w:val="1202"/>
      </w:pPr>
      <w:r>
        <w:rPr>
          <w:rStyle w:val="1201"/>
        </w:rPr>
        <w:footnoteRef/>
      </w:r>
      <w:r>
        <w:rPr>
          <w:rFonts w:eastAsiaTheme="minorHAnsi"/>
          <w:lang w:eastAsia="en-US"/>
        </w:rPr>
        <w:t xml:space="preserve">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</w:t>
      </w:r>
      <w:r>
        <w:rPr>
          <w:rFonts w:eastAsiaTheme="minorHAnsi"/>
          <w:lang w:eastAsia="en-US"/>
        </w:rPr>
        <w:t xml:space="preserve">ах 7 и 8таблицы</w:t>
      </w:r>
      <w:r>
        <w:rPr>
          <w:rFonts w:eastAsiaTheme="minorHAnsi"/>
          <w:lang w:eastAsia="en-US"/>
        </w:rPr>
        <w:t xml:space="preserve">, в течение 3-х календарных лет, следующих один за другим.</w:t>
      </w:r>
      <w:r/>
    </w:p>
  </w:footnote>
  <w:footnote w:id="6">
    <w:p>
      <w:pPr>
        <w:pStyle w:val="1202"/>
        <w:rPr>
          <w:rFonts w:eastAsiaTheme="minorHAnsi"/>
          <w:lang w:eastAsia="en-US"/>
        </w:rPr>
      </w:pPr>
      <w:r>
        <w:rPr>
          <w:rStyle w:val="1201"/>
        </w:rPr>
        <w:footnoteRef/>
      </w:r>
      <w:r>
        <w:rPr>
          <w:rFonts w:eastAsiaTheme="minorHAnsi"/>
          <w:lang w:eastAsia="en-US"/>
        </w:rPr>
        <w:t xml:space="preserve">Пункты 1 - </w:t>
      </w:r>
      <w:r>
        <w:rPr>
          <w:rFonts w:eastAsiaTheme="minorHAnsi"/>
          <w:lang w:eastAsia="en-US"/>
        </w:rPr>
        <w:t xml:space="preserve">11</w:t>
      </w:r>
      <w:r>
        <w:rPr>
          <w:rFonts w:eastAsiaTheme="minorHAnsi"/>
          <w:lang w:eastAsia="en-US"/>
        </w:rPr>
        <w:t xml:space="preserve"> являются обязательными для заполнения.</w:t>
      </w:r>
      <w:r>
        <w:rPr>
          <w:rFonts w:eastAsiaTheme="minorHAnsi"/>
          <w:lang w:eastAsia="en-US"/>
        </w:rPr>
      </w:r>
      <w:r>
        <w:rPr>
          <w:rFonts w:eastAsiaTheme="minorHAnsi"/>
          <w:lang w:eastAsia="en-US"/>
        </w:rPr>
      </w:r>
    </w:p>
  </w:footnote>
  <w:footnote w:id="7">
    <w:p>
      <w:pPr>
        <w:pStyle w:val="1202"/>
      </w:pPr>
      <w:r>
        <w:rPr>
          <w:rStyle w:val="1201"/>
        </w:rPr>
        <w:footnoteRef/>
      </w:r>
      <w:r>
        <w:t xml:space="preserve">Ограничение в отношении суммарной доли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</w:t>
      </w:r>
      <w:r>
        <w:t xml:space="preserve">ностью не распространяется на общества с ограниченной ответственностью, соответствующие требованиям, указанным в подпунктах "в" - "д" пункта 1 части 1.1 статьи 4 Федерального закона "О развитии малого и среднего предпринимательства в Российской Федерации".</w:t>
      </w:r>
      <w:r/>
    </w:p>
  </w:footnote>
  <w:footnote w:id="8">
    <w:p>
      <w:pPr>
        <w:pStyle w:val="1202"/>
      </w:pPr>
      <w:r>
        <w:rPr>
          <w:rStyle w:val="1201"/>
        </w:rPr>
        <w:t xml:space="preserve">1</w:t>
      </w:r>
      <w:r>
        <w:t xml:space="preserve"> Указание вместо </w:t>
      </w:r>
      <w:r>
        <w:t xml:space="preserve">реквизитов лицензии</w:t>
      </w:r>
      <w:r>
        <w:t xml:space="preserve"> Банка России реквизитов и</w:t>
      </w:r>
      <w:r>
        <w:t xml:space="preserve">ны</w:t>
      </w:r>
      <w:r>
        <w:t xml:space="preserve">х</w:t>
      </w:r>
      <w:r>
        <w:t xml:space="preserve"> документ</w:t>
      </w:r>
      <w:r>
        <w:t xml:space="preserve">ов</w:t>
      </w:r>
      <w:r>
        <w:t xml:space="preserve">, подтверждающи</w:t>
      </w:r>
      <w:r>
        <w:t xml:space="preserve">х</w:t>
      </w:r>
      <w:r>
        <w:t xml:space="preserve"> наличие у организации права на выдачу независимых гарантий</w:t>
      </w:r>
      <w:r>
        <w:t xml:space="preserve">,</w:t>
      </w:r>
      <w:r>
        <w:t xml:space="preserve"> </w:t>
      </w:r>
      <w:r>
        <w:t xml:space="preserve">допустимо только в</w:t>
      </w:r>
      <w:r>
        <w:t xml:space="preserve"> </w:t>
      </w:r>
      <w:r>
        <w:t xml:space="preserve">тех случаях, когда Гарант не является кредитной организацией.</w:t>
      </w:r>
      <w:r/>
    </w:p>
    <w:p>
      <w:pPr>
        <w:pStyle w:val="1202"/>
      </w:pPr>
      <w:r/>
      <w:r/>
    </w:p>
  </w:footnote>
  <w:footnote w:id="9">
    <w:p>
      <w:pPr>
        <w:pStyle w:val="1202"/>
        <w:rPr>
          <w:sz w:val="18"/>
          <w:szCs w:val="18"/>
        </w:rPr>
      </w:pPr>
      <w:r>
        <w:rPr>
          <w:rStyle w:val="1201"/>
          <w:sz w:val="18"/>
          <w:szCs w:val="18"/>
        </w:rPr>
        <w:footnoteRef/>
      </w:r>
      <w:r>
        <w:rPr>
          <w:sz w:val="18"/>
          <w:szCs w:val="18"/>
        </w:rPr>
        <w:t xml:space="preserve"> </w:t>
      </w:r>
      <w:r>
        <w:rPr>
          <w:rStyle w:val="1353"/>
          <w:sz w:val="18"/>
          <w:szCs w:val="18"/>
        </w:rPr>
        <w:t xml:space="preserve">Данные о наличии лицензии могут быть проверены на официальном сайте Банка России по адресу </w:t>
      </w:r>
      <w:hyperlink r:id="rId1" w:tooltip="http://www.cbr.ru/credit/" w:history="1">
        <w:r>
          <w:rPr>
            <w:rStyle w:val="1218"/>
            <w:sz w:val="18"/>
            <w:szCs w:val="18"/>
          </w:rPr>
          <w:t xml:space="preserve">http://www.cbr.ru/credit/</w:t>
        </w:r>
      </w:hyperlink>
      <w:r>
        <w:rPr>
          <w:rStyle w:val="1353"/>
          <w:sz w:val="18"/>
          <w:szCs w:val="18"/>
        </w:rPr>
        <w:t xml:space="preserve">.</w:t>
      </w:r>
      <w:r>
        <w:rPr>
          <w:sz w:val="18"/>
          <w:szCs w:val="18"/>
        </w:rPr>
      </w:r>
      <w:r>
        <w:rPr>
          <w:sz w:val="18"/>
          <w:szCs w:val="18"/>
        </w:rPr>
      </w:r>
    </w:p>
  </w:footnote>
  <w:footnote w:id="10">
    <w:p>
      <w:pPr>
        <w:pStyle w:val="1202"/>
        <w:rPr>
          <w:sz w:val="18"/>
          <w:szCs w:val="18"/>
        </w:rPr>
      </w:pPr>
      <w:r>
        <w:rPr>
          <w:rStyle w:val="1201"/>
          <w:sz w:val="18"/>
          <w:szCs w:val="18"/>
        </w:rPr>
        <w:footnoteRef/>
      </w:r>
      <w:r>
        <w:rPr>
          <w:sz w:val="18"/>
          <w:szCs w:val="18"/>
        </w:rPr>
        <w:t xml:space="preserve"> </w:t>
      </w:r>
      <w:r>
        <w:rPr>
          <w:rStyle w:val="1353"/>
          <w:sz w:val="18"/>
          <w:szCs w:val="18"/>
        </w:rPr>
        <w:t xml:space="preserve">В частности, запрет или ограничение на прием вкладов от физических лиц, если такая информация опубликована в официальных источниках и/или на официальном сайте Банка России по адресу </w:t>
      </w:r>
      <w:hyperlink r:id="rId2" w:tooltip="https://www.cbr.ru/analytics/strform/" w:history="1">
        <w:r>
          <w:rPr>
            <w:rStyle w:val="1218"/>
            <w:sz w:val="18"/>
            <w:szCs w:val="18"/>
          </w:rPr>
          <w:t xml:space="preserve">https://www.cbr.ru/analytics/strform/</w:t>
        </w:r>
      </w:hyperlink>
      <w:r>
        <w:rPr>
          <w:rStyle w:val="1353"/>
          <w:sz w:val="18"/>
          <w:szCs w:val="18"/>
        </w:rPr>
        <w:t xml:space="preserve">.</w:t>
      </w:r>
      <w:r>
        <w:rPr>
          <w:sz w:val="18"/>
          <w:szCs w:val="18"/>
        </w:rPr>
      </w:r>
      <w:r>
        <w:rPr>
          <w:sz w:val="18"/>
          <w:szCs w:val="18"/>
        </w:rPr>
      </w:r>
    </w:p>
  </w:footnote>
  <w:footnote w:id="11">
    <w:p>
      <w:pPr>
        <w:rPr>
          <w:sz w:val="18"/>
          <w:szCs w:val="18"/>
        </w:rPr>
        <w:outlineLvl w:val="0"/>
      </w:pPr>
      <w:r>
        <w:rPr>
          <w:rStyle w:val="1201"/>
          <w:sz w:val="18"/>
          <w:szCs w:val="18"/>
        </w:rPr>
        <w:footnoteRef/>
      </w:r>
      <w:r>
        <w:rPr>
          <w:sz w:val="18"/>
          <w:szCs w:val="18"/>
        </w:rPr>
        <w:t xml:space="preserve"> </w:t>
      </w:r>
      <w:r>
        <w:rPr>
          <w:rStyle w:val="1352"/>
          <w:sz w:val="18"/>
          <w:szCs w:val="18"/>
        </w:rPr>
        <w:t xml:space="preserve">Система страхования вкладов - система обязательного страхования вкладов физических лиц в банках Российской Федерации, определенная Федеральным законом «О страховании вкладов физических лиц в банках Российской Федерации» от 23.12.2003 № 177-</w:t>
      </w:r>
      <w:r>
        <w:rPr>
          <w:rStyle w:val="1352"/>
          <w:sz w:val="18"/>
          <w:szCs w:val="18"/>
        </w:rPr>
        <w:t xml:space="preserve">ФЗ.</w:t>
      </w:r>
      <w:r>
        <w:rPr>
          <w:sz w:val="18"/>
          <w:szCs w:val="18"/>
        </w:rPr>
      </w:r>
      <w:r>
        <w:rPr>
          <w:sz w:val="18"/>
          <w:szCs w:val="18"/>
        </w:rPr>
      </w:r>
    </w:p>
  </w:footnote>
  <w:footnote w:id="12">
    <w:p>
      <w:pPr>
        <w:pStyle w:val="1202"/>
        <w:rPr>
          <w:sz w:val="18"/>
          <w:szCs w:val="18"/>
        </w:rPr>
      </w:pPr>
      <w:r>
        <w:rPr>
          <w:rStyle w:val="1201"/>
          <w:sz w:val="18"/>
          <w:szCs w:val="18"/>
        </w:rPr>
        <w:footnoteRef/>
      </w:r>
      <w:r>
        <w:rPr>
          <w:sz w:val="18"/>
          <w:szCs w:val="18"/>
        </w:rPr>
        <w:t xml:space="preserve"> Требование о свободном остатке лимита применяется для всех независимых гарантий за исключением независимой гарантии обеспечения заявки участника закупочной процедуры.</w:t>
      </w:r>
      <w:r>
        <w:rPr>
          <w:sz w:val="18"/>
          <w:szCs w:val="18"/>
        </w:rPr>
      </w:r>
      <w:r>
        <w:rPr>
          <w:sz w:val="18"/>
          <w:szCs w:val="18"/>
        </w:rPr>
      </w:r>
    </w:p>
  </w:footnote>
  <w:footnote w:id="13">
    <w:p>
      <w:pPr>
        <w:pStyle w:val="1202"/>
      </w:pPr>
      <w:r>
        <w:rPr>
          <w:rStyle w:val="1201"/>
          <w:sz w:val="18"/>
          <w:szCs w:val="18"/>
        </w:rPr>
        <w:footnoteRef/>
      </w:r>
      <w:r>
        <w:rPr>
          <w:sz w:val="18"/>
          <w:szCs w:val="18"/>
        </w:rPr>
        <w:t xml:space="preserve"> </w:t>
      </w:r>
      <w:r>
        <w:rPr>
          <w:bCs/>
          <w:sz w:val="18"/>
          <w:szCs w:val="18"/>
        </w:rPr>
        <w:t xml:space="preserve">На все банки-гаранты, находящиеся под прямым или косвенным контролем Российской Федерации либо Банка России и суммой активов свыше 500 млрд. руб., ограниче</w:t>
      </w:r>
      <w:r>
        <w:rPr>
          <w:bCs/>
          <w:sz w:val="18"/>
          <w:szCs w:val="18"/>
        </w:rPr>
        <w:t xml:space="preserve">ния по сумме принимаемых независимых гарантий не устанавливаются. (Настоящий пункт не распространяется на банки-гаранты, акции (доли) которых перешли во владение Российской Федерации либо Банка России в ходе процедуры санации или финансового оздоровления).</w:t>
      </w:r>
      <w:r/>
    </w:p>
  </w:footnote>
  <w:footnote w:id="14">
    <w:p>
      <w:pPr>
        <w:pStyle w:val="1202"/>
        <w:rPr>
          <w:sz w:val="18"/>
          <w:szCs w:val="18"/>
        </w:rPr>
      </w:pPr>
      <w:r>
        <w:rPr>
          <w:rStyle w:val="1201"/>
          <w:sz w:val="18"/>
          <w:szCs w:val="18"/>
        </w:rPr>
        <w:footnoteRef/>
      </w:r>
      <w:r>
        <w:rPr>
          <w:sz w:val="18"/>
          <w:szCs w:val="18"/>
        </w:rPr>
        <w:t xml:space="preserve"> </w:t>
      </w:r>
      <w:r>
        <w:rPr>
          <w:rStyle w:val="1353"/>
          <w:sz w:val="18"/>
          <w:szCs w:val="18"/>
        </w:rPr>
        <w:t xml:space="preserve">Для банков с долей Российской Федерации либо Банка России в уставном капитале более 50%, а также банков, в отношении которых Банком Ро</w:t>
      </w:r>
      <w:r>
        <w:rPr>
          <w:rStyle w:val="1353"/>
          <w:sz w:val="18"/>
          <w:szCs w:val="18"/>
        </w:rPr>
        <w:t xml:space="preserve">ссии принято решение о гарантировании непрерывности деятельности, ограничения по размеру собственного капитала банка и ограничения по вхождению в перечень банков, соответствующих требованиям ст. 2 Федерального закона от 21.07.2014 № 213-ФЗ - не применяются</w:t>
      </w:r>
      <w:r>
        <w:rPr>
          <w:sz w:val="18"/>
          <w:szCs w:val="18"/>
        </w:rPr>
      </w:r>
      <w:r>
        <w:rPr>
          <w:sz w:val="18"/>
          <w:szCs w:val="18"/>
        </w:rPr>
      </w:r>
    </w:p>
  </w:footnote>
  <w:footnote w:id="15">
    <w:p>
      <w:pPr>
        <w:pStyle w:val="1202"/>
        <w:rPr>
          <w:sz w:val="18"/>
          <w:szCs w:val="18"/>
        </w:rPr>
      </w:pPr>
      <w:r>
        <w:rPr>
          <w:rStyle w:val="1201"/>
          <w:sz w:val="18"/>
          <w:szCs w:val="18"/>
        </w:rPr>
        <w:footnoteRef/>
      </w:r>
      <w:r>
        <w:rPr>
          <w:sz w:val="18"/>
          <w:szCs w:val="18"/>
        </w:rPr>
        <w:t xml:space="preserve"> Собственный капитал банка в соответствии с данными отчетности банка, в том числе, публикуемыми на официальном сайте Банка России по адресу </w:t>
      </w:r>
      <w:hyperlink r:id="rId3" w:tooltip="http://www.cbr.ru/credit/" w:history="1">
        <w:r>
          <w:rPr>
            <w:rStyle w:val="1218"/>
            <w:sz w:val="18"/>
            <w:szCs w:val="18"/>
          </w:rPr>
          <w:t xml:space="preserve">http://www.cbr.ru/credit/</w:t>
        </w:r>
      </w:hyperlink>
      <w:r>
        <w:rPr>
          <w:sz w:val="18"/>
          <w:szCs w:val="18"/>
        </w:rPr>
        <w:t xml:space="preserve"> по состоянию на дату, ближайшую к отчетной.</w:t>
      </w:r>
      <w:r>
        <w:rPr>
          <w:sz w:val="18"/>
          <w:szCs w:val="18"/>
        </w:rPr>
      </w:r>
      <w:r>
        <w:rPr>
          <w:sz w:val="18"/>
          <w:szCs w:val="18"/>
        </w:rPr>
      </w:r>
    </w:p>
  </w:footnote>
  <w:footnote w:id="16">
    <w:p>
      <w:pPr>
        <w:pStyle w:val="1202"/>
        <w:rPr>
          <w:sz w:val="18"/>
          <w:szCs w:val="18"/>
        </w:rPr>
      </w:pPr>
      <w:r>
        <w:rPr>
          <w:rStyle w:val="1201"/>
          <w:sz w:val="18"/>
          <w:szCs w:val="18"/>
        </w:rPr>
        <w:footnoteRef/>
      </w:r>
      <w:r>
        <w:rPr>
          <w:sz w:val="18"/>
          <w:szCs w:val="18"/>
        </w:rPr>
        <w:t xml:space="preserve"> Включенными в реестр кредитных рейтинговых агентств Центрального банка России. Размещен на сайте ЦБ РФ. https://cbr.ru.</w:t>
      </w:r>
      <w:r>
        <w:rPr>
          <w:sz w:val="18"/>
          <w:szCs w:val="18"/>
        </w:rPr>
      </w:r>
      <w:r>
        <w:rPr>
          <w:sz w:val="18"/>
          <w:szCs w:val="18"/>
        </w:rPr>
      </w:r>
    </w:p>
  </w:footnote>
  <w:footnote w:id="17">
    <w:p>
      <w:pPr>
        <w:pStyle w:val="1202"/>
      </w:pPr>
      <w:r>
        <w:rPr>
          <w:rStyle w:val="1201"/>
          <w:sz w:val="18"/>
          <w:szCs w:val="18"/>
        </w:rPr>
        <w:footnoteRef/>
      </w:r>
      <w:r>
        <w:rPr>
          <w:sz w:val="18"/>
          <w:szCs w:val="18"/>
        </w:rPr>
        <w:t xml:space="preserve"> </w:t>
      </w:r>
      <w:r>
        <w:rPr>
          <w:rStyle w:val="1353"/>
          <w:sz w:val="18"/>
          <w:szCs w:val="18"/>
        </w:rPr>
        <w:t xml:space="preserve">По состоянию на 01.01.2024 в реестр включены только рейтинговые агентства АКРА (АО), АО «Эксперт РА», ООО «НКР» и ООО «НРА».</w:t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6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2222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2873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3884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4535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5546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6197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7208" w:hanging="1800"/>
      </w:pPr>
      <w:rPr>
        <w:rFonts w:hint="default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2269" w:hanging="1134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decimal"/>
      <w:isLgl w:val="false"/>
      <w:suff w:val="tab"/>
      <w:lvlText w:val="(%4)"/>
      <w:lvlJc w:val="left"/>
      <w:pPr>
        <w:ind w:left="1985" w:hanging="851"/>
      </w:pPr>
      <w:rPr>
        <w:rFonts w:hint="default"/>
        <w:b w:val="0"/>
        <w:i w:val="0"/>
      </w:rPr>
    </w:lvl>
    <w:lvl w:ilvl="4">
      <w:start w:val="1"/>
      <w:numFmt w:val="russianLower"/>
      <w:isLgl w:val="false"/>
      <w:suff w:val="tab"/>
      <w:lvlText w:val="(%5)"/>
      <w:lvlJc w:val="left"/>
      <w:pPr>
        <w:ind w:left="2977" w:hanging="850"/>
      </w:pPr>
      <w:rPr>
        <w:rFonts w:hint="default"/>
      </w:rPr>
    </w:lvl>
    <w:lvl w:ilvl="5">
      <w:start w:val="1"/>
      <w:numFmt w:val="none"/>
      <w:isLgl w:val="false"/>
      <w:suff w:val="tab"/>
      <w:lvlText w:val=""/>
      <w:lvlJc w:val="left"/>
      <w:pPr>
        <w:ind w:left="1134" w:hanging="1134"/>
      </w:pPr>
      <w:rPr>
        <w:rFonts w:hint="default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none"/>
      <w:isLgl w:val="false"/>
      <w:suff w:val="tab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isLgl w:val="false"/>
      <w:suff w:val="tab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isLgl w:val="false"/>
      <w:suff w:val="tab"/>
      <w:lvlText w:val=""/>
      <w:lvlJc w:val="left"/>
      <w:pPr>
        <w:ind w:left="1134" w:hanging="1134"/>
      </w:pPr>
      <w:rPr>
        <w:rFonts w:hint="default"/>
      </w:rPr>
    </w:lvl>
  </w:abstractNum>
  <w:abstractNum w:abstractNumId="3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900" w:hanging="900"/>
      </w:pPr>
      <w:rPr>
        <w:rFonts w:hint="default"/>
      </w:rPr>
    </w:lvl>
    <w:lvl w:ilvl="1">
      <w:start w:val="7"/>
      <w:numFmt w:val="decimal"/>
      <w:isLgl w:val="false"/>
      <w:suff w:val="tab"/>
      <w:lvlText w:val="%1.%2."/>
      <w:lvlJc w:val="left"/>
      <w:pPr>
        <w:ind w:left="1020" w:hanging="900"/>
      </w:pPr>
      <w:rPr>
        <w:rFonts w:hint="default"/>
      </w:rPr>
    </w:lvl>
    <w:lvl w:ilvl="2">
      <w:start w:val="2"/>
      <w:numFmt w:val="decimal"/>
      <w:isLgl w:val="false"/>
      <w:suff w:val="tab"/>
      <w:lvlText w:val="%1.%2.%3."/>
      <w:lvlJc w:val="left"/>
      <w:pPr>
        <w:ind w:left="1140" w:hanging="900"/>
      </w:pPr>
      <w:rPr>
        <w:rFonts w:hint="default"/>
      </w:rPr>
    </w:lvl>
    <w:lvl w:ilvl="3">
      <w:start w:val="1"/>
      <w:numFmt w:val="russianLower"/>
      <w:isLgl w:val="false"/>
      <w:suff w:val="tab"/>
      <w:lvlText w:val="%4)"/>
      <w:lvlJc w:val="left"/>
      <w:pPr>
        <w:ind w:left="1440" w:hanging="1080"/>
      </w:pPr>
      <w:rPr>
        <w:rFonts w:hint="default" w:cs="Times New Roman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56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0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64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3120" w:hanging="2160"/>
      </w:pPr>
      <w:rPr>
        <w:rFonts w:hint="default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 w:ascii="Times New Roman" w:hAnsi="Times New Roman" w:cs="Times New Roman"/>
        <w:b w:val="0"/>
        <w:bCs w:val="0"/>
        <w:i w:val="0"/>
        <w:iCs w:val="0"/>
        <w:strike w:val="0"/>
        <w:vanish w:val="0"/>
        <w:color w:val="000000"/>
        <w:spacing w:val="0"/>
        <w:position w:val="0"/>
        <w:sz w:val="24"/>
        <w:szCs w:val="24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tabs>
          <w:tab w:val="num" w:pos="0" w:leader="none"/>
        </w:tabs>
      </w:pPr>
      <w:rPr>
        <w:rFonts w:hint="default" w:cs="Times New Roman"/>
      </w:rPr>
    </w:lvl>
    <w:lvl w:ilvl="1">
      <w:start w:val="1"/>
      <w:numFmt w:val="decimal"/>
      <w:isLgl w:val="false"/>
      <w:suff w:val="tab"/>
      <w:lvlText w:val="%1.%2"/>
      <w:lvlJc w:val="left"/>
      <w:pPr>
        <w:tabs>
          <w:tab w:val="num" w:pos="0" w:leader="none"/>
        </w:tabs>
      </w:pPr>
      <w:rPr>
        <w:rFonts w:hint="default" w:cs="Times New Roman"/>
      </w:rPr>
    </w:lvl>
    <w:lvl w:ilvl="2">
      <w:start w:val="1"/>
      <w:numFmt w:val="decimal"/>
      <w:isLgl w:val="false"/>
      <w:suff w:val="tab"/>
      <w:lvlText w:val="%1.%2.%3"/>
      <w:lvlJc w:val="left"/>
      <w:pPr>
        <w:tabs>
          <w:tab w:val="num" w:pos="0" w:leader="none"/>
        </w:tabs>
      </w:pPr>
      <w:rPr>
        <w:rFonts w:hint="default" w:cs="Times New Roman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53" w:hanging="720"/>
        <w:tabs>
          <w:tab w:val="num" w:pos="153" w:leader="none"/>
        </w:tabs>
      </w:pPr>
      <w:rPr>
        <w:rFonts w:hint="default" w:cs="Times New Roman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513" w:hanging="1080"/>
        <w:tabs>
          <w:tab w:val="num" w:pos="513" w:leader="none"/>
        </w:tabs>
      </w:pPr>
      <w:rPr>
        <w:rFonts w:hint="default"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13" w:hanging="1080"/>
        <w:tabs>
          <w:tab w:val="num" w:pos="513" w:leader="none"/>
        </w:tabs>
      </w:pPr>
      <w:rPr>
        <w:rFonts w:hint="default" w:cs="Times New Roman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873" w:hanging="1440"/>
        <w:tabs>
          <w:tab w:val="num" w:pos="873" w:leader="none"/>
        </w:tabs>
      </w:pPr>
      <w:rPr>
        <w:rFonts w:hint="default"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873" w:hanging="1440"/>
        <w:tabs>
          <w:tab w:val="num" w:pos="873" w:leader="none"/>
        </w:tabs>
      </w:pPr>
      <w:rPr>
        <w:rFonts w:hint="default"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233" w:hanging="1800"/>
        <w:tabs>
          <w:tab w:val="num" w:pos="1233" w:leader="none"/>
        </w:tabs>
      </w:pPr>
      <w:rPr>
        <w:rFonts w:hint="default" w:cs="Times New Roman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44" w:hanging="435"/>
      </w:pPr>
      <w:rPr>
        <w:rFonts w:hint="default" w:cs="Times New Roman"/>
      </w:rPr>
    </w:lvl>
    <w:lvl w:ilvl="1">
      <w:start w:val="3"/>
      <w:numFmt w:val="decimal"/>
      <w:isLgl/>
      <w:suff w:val="tab"/>
      <w:lvlText w:val="%1.%2."/>
      <w:lvlJc w:val="left"/>
      <w:pPr>
        <w:ind w:left="1249" w:hanging="54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2989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92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26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9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20" w:hanging="180"/>
      </w:p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"/>
      <w:lvlJc w:val="left"/>
      <w:pPr>
        <w:ind w:left="720" w:hanging="360"/>
      </w:pPr>
      <w:rPr>
        <w:rFonts w:hint="default"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67" w:hanging="567"/>
        <w:tabs>
          <w:tab w:val="num" w:pos="567" w:leader="none"/>
        </w:tabs>
      </w:pPr>
    </w:lvl>
    <w:lvl w:ilvl="1">
      <w:start w:val="1"/>
      <w:numFmt w:val="decimal"/>
      <w:pStyle w:val="1171"/>
      <w:isLgl w:val="false"/>
      <w:suff w:val="tab"/>
      <w:lvlText w:val="%1.%2"/>
      <w:lvlJc w:val="left"/>
      <w:pPr>
        <w:ind w:left="567" w:hanging="567"/>
        <w:tabs>
          <w:tab w:val="num" w:pos="567" w:leader="none"/>
        </w:tabs>
      </w:pPr>
    </w:lvl>
    <w:lvl w:ilvl="2">
      <w:start w:val="1"/>
      <w:numFmt w:val="none"/>
      <w:isLgl w:val="false"/>
      <w:suff w:val="tab"/>
      <w:lvlText w:val="%1.%2.%3"/>
      <w:lvlJc w:val="left"/>
      <w:pPr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"/>
      <w:lvlJc w:val="left"/>
      <w:pPr>
        <w:ind w:left="864" w:hanging="864"/>
        <w:tabs>
          <w:tab w:val="num" w:pos="864" w:leader="none"/>
        </w:tabs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  <w:tabs>
          <w:tab w:val="num" w:pos="1008" w:leader="none"/>
        </w:tabs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  <w:tabs>
          <w:tab w:val="num" w:pos="1152" w:leader="none"/>
        </w:tabs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97" w:hanging="930"/>
        <w:tabs>
          <w:tab w:val="num" w:pos="1497" w:leader="none"/>
        </w:tabs>
      </w:pPr>
      <w:rPr>
        <w:rFonts w:hint="default" w:cs="Times New Roman"/>
        <w:i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  <w:tabs>
          <w:tab w:val="num" w:pos="1647" w:leader="none"/>
        </w:tabs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  <w:tabs>
          <w:tab w:val="num" w:pos="2367" w:leader="none"/>
        </w:tabs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  <w:tabs>
          <w:tab w:val="num" w:pos="3087" w:leader="none"/>
        </w:tabs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  <w:tabs>
          <w:tab w:val="num" w:pos="3807" w:leader="none"/>
        </w:tabs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  <w:tabs>
          <w:tab w:val="num" w:pos="4527" w:leader="none"/>
        </w:tabs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  <w:tabs>
          <w:tab w:val="num" w:pos="5247" w:leader="none"/>
        </w:tabs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  <w:tabs>
          <w:tab w:val="num" w:pos="5967" w:leader="none"/>
        </w:tabs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  <w:tabs>
          <w:tab w:val="num" w:pos="6687" w:leader="none"/>
        </w:tabs>
      </w:pPr>
      <w:rPr>
        <w:rFonts w:cs="Times New Roman"/>
      </w:rPr>
    </w:lvl>
  </w:abstractNum>
  <w:abstractNum w:abstractNumId="14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360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504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"/>
      <w:lvlJc w:val="left"/>
      <w:pPr>
        <w:ind w:left="576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720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792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864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9360" w:hanging="360"/>
      </w:pPr>
      <w:rPr>
        <w:rFonts w:hint="default" w:ascii="Wingdings" w:hAnsi="Wingdings"/>
      </w:r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862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582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02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22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742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462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182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02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22" w:hanging="180"/>
      </w:p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center"/>
      <w:pPr>
        <w:ind w:left="1986" w:hanging="568"/>
        <w:tabs>
          <w:tab w:val="num" w:pos="1986" w:leader="none"/>
        </w:tabs>
      </w:pPr>
      <w:rPr>
        <w:rFonts w:hint="default" w:cs="Times New Roman"/>
      </w:rPr>
    </w:lvl>
    <w:lvl w:ilvl="1">
      <w:start w:val="1"/>
      <w:numFmt w:val="decimal"/>
      <w:pStyle w:val="1339"/>
      <w:isLgl w:val="false"/>
      <w:suff w:val="tab"/>
      <w:lvlText w:val="%1.%2."/>
      <w:lvlJc w:val="left"/>
      <w:pPr>
        <w:ind w:left="3687" w:hanging="1134"/>
        <w:tabs>
          <w:tab w:val="num" w:pos="3687" w:leader="none"/>
        </w:tabs>
      </w:pPr>
      <w:rPr>
        <w:rFonts w:hint="default" w:cs="Times New Roman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396" w:hanging="1134"/>
        <w:tabs>
          <w:tab w:val="num" w:pos="4396" w:leader="none"/>
        </w:tabs>
      </w:pPr>
      <w:rPr>
        <w:rFonts w:hint="default" w:cs="Times New Roman"/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254" w:hanging="1134"/>
        <w:tabs>
          <w:tab w:val="num" w:pos="4254" w:leader="none"/>
        </w:tabs>
      </w:pPr>
      <w:rPr>
        <w:rFonts w:hint="default" w:cs="Times New Roman"/>
      </w:rPr>
    </w:lvl>
    <w:lvl w:ilvl="4">
      <w:start w:val="1"/>
      <w:numFmt w:val="lowerLetter"/>
      <w:isLgl w:val="false"/>
      <w:suff w:val="tab"/>
      <w:lvlText w:val="%5)"/>
      <w:lvlJc w:val="left"/>
      <w:pPr>
        <w:ind w:left="3119" w:hanging="567"/>
        <w:tabs>
          <w:tab w:val="num" w:pos="3119" w:leader="none"/>
        </w:tabs>
      </w:pPr>
      <w:rPr>
        <w:rFonts w:hint="default" w:cs="Times New Roman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4011" w:hanging="1152"/>
        <w:tabs>
          <w:tab w:val="num" w:pos="4011" w:leader="none"/>
        </w:tabs>
      </w:pPr>
      <w:rPr>
        <w:rFonts w:hint="default" w:cs="Times New Roman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4155" w:hanging="1296"/>
        <w:tabs>
          <w:tab w:val="num" w:pos="4155" w:leader="none"/>
        </w:tabs>
      </w:pPr>
      <w:rPr>
        <w:rFonts w:hint="default" w:cs="Times New Roman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4299" w:hanging="1440"/>
        <w:tabs>
          <w:tab w:val="num" w:pos="4299" w:leader="none"/>
        </w:tabs>
      </w:pPr>
      <w:rPr>
        <w:rFonts w:hint="default" w:cs="Times New Roman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4443" w:hanging="1584"/>
        <w:tabs>
          <w:tab w:val="num" w:pos="4443" w:leader="none"/>
        </w:tabs>
      </w:pPr>
      <w:rPr>
        <w:rFonts w:hint="default" w:cs="Times New Roman"/>
      </w:rPr>
    </w:lvl>
  </w:abstractNum>
  <w:abstractNum w:abstractNumId="19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429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32" w:hanging="432"/>
        <w:tabs>
          <w:tab w:val="num" w:pos="432" w:leader="none"/>
        </w:tabs>
      </w:pPr>
      <w:rPr>
        <w:rFonts w:hint="default" w:ascii="Times New Roman" w:hAnsi="Times New Roman" w:cs="Times New Roman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576" w:hanging="576"/>
        <w:tabs>
          <w:tab w:val="num" w:pos="576" w:leader="none"/>
        </w:tabs>
      </w:pPr>
      <w:rPr>
        <w:rFonts w:hint="default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84"/>
        <w:tabs>
          <w:tab w:val="num" w:pos="454" w:leader="none"/>
        </w:tabs>
      </w:pPr>
      <w:rPr>
        <w:rFonts w:hint="default" w:ascii="Times New Roman" w:hAnsi="Times New Roman" w:cs="Times New Roman"/>
        <w:b w:val="0"/>
        <w:bCs w:val="0"/>
        <w:i w:val="0"/>
        <w:iCs w:val="0"/>
        <w:color w:val="auto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290" w:hanging="864"/>
        <w:tabs>
          <w:tab w:val="num" w:pos="1290" w:leader="none"/>
        </w:tabs>
      </w:pPr>
      <w:rPr>
        <w:rFonts w:hint="default" w:ascii="Times New Roman" w:hAnsi="Times New Roman" w:cs="Times New Roman"/>
        <w:sz w:val="24"/>
        <w:szCs w:val="24"/>
      </w:rPr>
    </w:lvl>
    <w:lvl w:ilvl="4">
      <w:start w:val="1"/>
      <w:numFmt w:val="russianLower"/>
      <w:isLgl w:val="false"/>
      <w:suff w:val="tab"/>
      <w:lvlText w:val="%5)"/>
      <w:lvlJc w:val="left"/>
      <w:pPr>
        <w:ind w:left="928" w:hanging="360"/>
        <w:tabs>
          <w:tab w:val="num" w:pos="928" w:leader="none"/>
        </w:tabs>
      </w:pPr>
      <w:rPr>
        <w:rFonts w:hint="default" w:ascii="Times New Roman" w:hAnsi="Times New Roman" w:cs="Times New Roman"/>
        <w:b w:val="0"/>
        <w:i w:val="0"/>
        <w:sz w:val="24"/>
        <w:szCs w:val="24"/>
      </w:rPr>
    </w:lvl>
    <w:lvl w:ilvl="5">
      <w:start w:val="1"/>
      <w:numFmt w:val="decimal"/>
      <w:isLgl w:val="false"/>
      <w:suff w:val="tab"/>
      <w:lvlText w:val="%5.%6."/>
      <w:lvlJc w:val="left"/>
      <w:pPr>
        <w:ind w:left="1152" w:hanging="1152"/>
        <w:tabs>
          <w:tab w:val="num" w:pos="115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  <w:rPr>
        <w:rFonts w:hint="default"/>
      </w:rPr>
    </w:lvl>
  </w:abstractNum>
  <w:abstractNum w:abstractNumId="21">
    <w:multiLevelType w:val="hybridMultilevel"/>
    <w:lvl w:ilvl="0">
      <w:start w:val="1"/>
      <w:numFmt w:val="bullet"/>
      <w:isLgl w:val="false"/>
      <w:suff w:val="tab"/>
      <w:lvlText w:val="­"/>
      <w:lvlJc w:val="left"/>
      <w:pPr>
        <w:ind w:left="1429" w:hanging="360"/>
      </w:pPr>
      <w:rPr>
        <w:rFonts w:hint="default" w:ascii="Arial (WT)" w:hAnsi="Arial (WT)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2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isLgl w:val="false"/>
      <w:suff w:val="tab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2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2222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2873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3884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4535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5546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6197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7208" w:hanging="1800"/>
      </w:pPr>
      <w:rPr>
        <w:rFonts w:hint="default"/>
      </w:rPr>
    </w:lvl>
  </w:abstractNum>
  <w:abstractNum w:abstractNumId="25">
    <w:multiLevelType w:val="hybridMultilevel"/>
    <w:lvl w:ilvl="0">
      <w:start w:val="1"/>
      <w:numFmt w:val="russianLower"/>
      <w:isLgl w:val="false"/>
      <w:suff w:val="tab"/>
      <w:lvlText w:val="%1)."/>
      <w:lvlJc w:val="left"/>
      <w:pPr>
        <w:ind w:left="1152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tabs>
          <w:tab w:val="num" w:pos="0" w:leader="none"/>
        </w:tabs>
      </w:pPr>
      <w:rPr>
        <w:rFonts w:hint="default"/>
        <w:b/>
        <w:bCs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isLgl w:val="false"/>
      <w:suff w:val="tab"/>
      <w:lvlText w:val="%1.%2"/>
      <w:lvlJc w:val="left"/>
      <w:pPr>
        <w:ind w:left="1277" w:hanging="851"/>
        <w:tabs>
          <w:tab w:val="num" w:pos="1277" w:leader="none"/>
        </w:tabs>
      </w:pPr>
      <w:rPr>
        <w:rFonts w:hint="default"/>
        <w:caps w:val="0"/>
        <w:strike w:val="0"/>
        <w:vanish w:val="0"/>
        <w:color w:val="auto"/>
        <w:spacing w:val="0"/>
        <w:position w:val="0"/>
        <w:u w:val="none"/>
        <w:vertAlign w:val="baseline"/>
      </w:rPr>
    </w:lvl>
    <w:lvl w:ilvl="2">
      <w:start w:val="1"/>
      <w:numFmt w:val="decimal"/>
      <w:pStyle w:val="1302"/>
      <w:isLgl w:val="false"/>
      <w:suff w:val="tab"/>
      <w:lvlText w:val="%1.%2.%3"/>
      <w:lvlJc w:val="left"/>
      <w:pPr>
        <w:ind w:left="-283" w:firstLine="567"/>
        <w:tabs>
          <w:tab w:val="num" w:pos="1135" w:leader="none"/>
        </w:tabs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isLgl w:val="false"/>
      <w:suff w:val="tab"/>
      <w:lvlText w:val="%1.%2.%3.%4"/>
      <w:lvlJc w:val="left"/>
      <w:pPr>
        <w:ind w:firstLine="567"/>
        <w:tabs>
          <w:tab w:val="num" w:pos="1418" w:leader="none"/>
        </w:tabs>
      </w:pPr>
      <w:rPr>
        <w:rFonts w:hint="default"/>
        <w:b w:val="0"/>
        <w:bCs w:val="0"/>
        <w:i w:val="0"/>
        <w:iCs w:val="0"/>
        <w:caps w:val="0"/>
        <w:strike w:val="0"/>
        <w:vanish w:val="0"/>
        <w:color w:val="auto"/>
        <w:spacing w:val="0"/>
        <w:position w:val="0"/>
        <w:u w:val="none"/>
        <w:vertAlign w:val="baseline"/>
      </w:rPr>
    </w:lvl>
    <w:lvl w:ilvl="4">
      <w:start w:val="1"/>
      <w:numFmt w:val="lowerLetter"/>
      <w:isLgl w:val="false"/>
      <w:suff w:val="tab"/>
      <w:lvlText w:val="%5)"/>
      <w:lvlJc w:val="left"/>
      <w:pPr>
        <w:ind w:firstLine="567"/>
        <w:tabs>
          <w:tab w:val="num" w:pos="1418" w:leader="none"/>
        </w:tabs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isLgl w:val="false"/>
      <w:suff w:val="tab"/>
      <w:lvlText w:val="%6)"/>
      <w:lvlJc w:val="left"/>
      <w:pPr>
        <w:ind w:left="1985" w:hanging="567"/>
        <w:tabs>
          <w:tab w:val="num" w:pos="1985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5.%6.%7)"/>
      <w:lvlJc w:val="left"/>
      <w:pPr>
        <w:ind w:left="3119" w:hanging="851"/>
        <w:tabs>
          <w:tab w:val="num" w:pos="3119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5.%6.%7.%8)"/>
      <w:lvlJc w:val="left"/>
      <w:pPr>
        <w:ind w:left="3402" w:hanging="567"/>
        <w:tabs>
          <w:tab w:val="num" w:pos="3402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6120" w:leader="none"/>
        </w:tabs>
      </w:pPr>
      <w:rPr>
        <w:rFonts w:hint="default"/>
      </w:r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32" w:hanging="432"/>
        <w:tabs>
          <w:tab w:val="num" w:pos="432" w:leader="none"/>
        </w:tabs>
      </w:pPr>
      <w:rPr>
        <w:rFonts w:hint="default" w:ascii="Times New Roman" w:hAnsi="Times New Roman" w:cs="Times New Roman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576" w:hanging="576"/>
        <w:tabs>
          <w:tab w:val="num" w:pos="576" w:leader="none"/>
        </w:tabs>
      </w:pPr>
      <w:rPr>
        <w:rFonts w:hint="default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84"/>
        <w:tabs>
          <w:tab w:val="num" w:pos="454" w:leader="none"/>
        </w:tabs>
      </w:pPr>
      <w:rPr>
        <w:rFonts w:hint="default" w:ascii="Times New Roman" w:hAnsi="Times New Roman" w:cs="Times New Roman"/>
        <w:b w:val="0"/>
        <w:bCs w:val="0"/>
        <w:i w:val="0"/>
        <w:iCs w:val="0"/>
        <w:color w:val="auto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290" w:hanging="864"/>
        <w:tabs>
          <w:tab w:val="num" w:pos="1290" w:leader="none"/>
        </w:tabs>
      </w:pPr>
      <w:rPr>
        <w:rFonts w:hint="default" w:ascii="Times New Roman" w:hAnsi="Times New Roman" w:cs="Times New Roman"/>
        <w:sz w:val="24"/>
        <w:szCs w:val="24"/>
      </w:rPr>
    </w:lvl>
    <w:lvl w:ilvl="4">
      <w:start w:val="1"/>
      <w:numFmt w:val="russianLower"/>
      <w:isLgl w:val="false"/>
      <w:suff w:val="tab"/>
      <w:lvlText w:val="%5)"/>
      <w:lvlJc w:val="left"/>
      <w:pPr>
        <w:ind w:left="928" w:hanging="360"/>
        <w:tabs>
          <w:tab w:val="num" w:pos="928" w:leader="none"/>
        </w:tabs>
      </w:pPr>
      <w:rPr>
        <w:rFonts w:hint="default" w:ascii="Times New Roman" w:hAnsi="Times New Roman" w:cs="Times New Roman"/>
        <w:b w:val="0"/>
        <w:i w:val="0"/>
        <w:sz w:val="24"/>
        <w:szCs w:val="24"/>
      </w:rPr>
    </w:lvl>
    <w:lvl w:ilvl="5">
      <w:start w:val="1"/>
      <w:numFmt w:val="decimal"/>
      <w:isLgl w:val="false"/>
      <w:suff w:val="tab"/>
      <w:lvlText w:val="%5.%6."/>
      <w:lvlJc w:val="left"/>
      <w:pPr>
        <w:ind w:left="1152" w:hanging="1152"/>
        <w:tabs>
          <w:tab w:val="num" w:pos="115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  <w:rPr>
        <w:rFonts w:hint="default"/>
      </w:rPr>
    </w:lvl>
  </w:abstractNum>
  <w:abstractNum w:abstractNumId="29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440" w:hanging="360"/>
      </w:pPr>
      <w:rPr>
        <w:rFonts w:hint="default" w:cs="Times New Roman"/>
        <w:color w:val="auto"/>
      </w:rPr>
    </w:lvl>
    <w:lvl w:ilvl="1">
      <w:start w:val="1"/>
      <w:numFmt w:val="lowerLetter"/>
      <w:isLgl w:val="false"/>
      <w:suff w:val="tab"/>
      <w:lvlText w:val="%2."/>
      <w:lvlJc w:val="left"/>
      <w:pPr>
        <w:ind w:left="216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8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60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2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4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6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8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200" w:hanging="180"/>
      </w:pPr>
    </w:lvl>
  </w:abstractNum>
  <w:abstractNum w:abstractNumId="3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85" w:hanging="360"/>
      </w:pPr>
      <w:rPr>
        <w:rFonts w:hint="default" w:ascii="Symbol" w:hAnsi="Symbol"/>
        <w:b/>
        <w:color w:val="auto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1">
    <w:multiLevelType w:val="hybridMultilevel"/>
    <w:numStyleLink w:val="1354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2">
    <w:multiLevelType w:val="hybridMultilevel"/>
    <w:styleLink w:val="1354"/>
    <w:lvl w:ilvl="0">
      <w:start w:val="1"/>
      <w:numFmt w:val="bullet"/>
      <w:pStyle w:val="1354"/>
      <w:isLgl w:val="false"/>
      <w:suff w:val="tab"/>
      <w:lvlText w:val="-"/>
      <w:lvlJc w:val="left"/>
      <w:pPr>
        <w:ind w:left="863" w:hanging="154"/>
      </w:pPr>
      <w:rPr>
        <w:rFonts w:ascii="Times New Roman" w:hAnsi="Times New Roman" w:eastAsia="Times New Roman" w:cs="Times New Roman"/>
        <w:b w:val="0"/>
        <w:bCs w:val="0"/>
        <w:i w:val="0"/>
        <w:iCs w:val="0"/>
        <w:caps w:val="0"/>
        <w:smallCaps w:val="0"/>
        <w:strike w:val="0"/>
        <w:spacing w:val="0"/>
        <w:position w:val="0"/>
        <w:highlight w:val="none"/>
        <w:vertAlign w:val="baseline"/>
      </w:rPr>
    </w:lvl>
    <w:lvl w:ilvl="1">
      <w:start w:val="1"/>
      <w:numFmt w:val="bullet"/>
      <w:isLgl w:val="false"/>
      <w:suff w:val="tab"/>
      <w:lvlText w:val="-"/>
      <w:lvlJc w:val="left"/>
      <w:pPr>
        <w:ind w:left="863" w:hanging="154"/>
      </w:pPr>
      <w:rPr>
        <w:rFonts w:ascii="Times New Roman" w:hAnsi="Times New Roman" w:eastAsia="Times New Roman" w:cs="Times New Roman"/>
        <w:b w:val="0"/>
        <w:bCs w:val="0"/>
        <w:i w:val="0"/>
        <w:iCs w:val="0"/>
        <w:caps w:val="0"/>
        <w:smallCaps w:val="0"/>
        <w:strike w:val="0"/>
        <w:spacing w:val="0"/>
        <w:position w:val="0"/>
        <w:highlight w:val="none"/>
        <w:vertAlign w:val="baseline"/>
      </w:rPr>
    </w:lvl>
    <w:lvl w:ilvl="2">
      <w:start w:val="1"/>
      <w:numFmt w:val="bullet"/>
      <w:isLgl w:val="false"/>
      <w:suff w:val="tab"/>
      <w:lvlText w:val="-"/>
      <w:lvlJc w:val="left"/>
      <w:pPr>
        <w:ind w:left="863" w:hanging="154"/>
      </w:pPr>
      <w:rPr>
        <w:rFonts w:ascii="Times New Roman" w:hAnsi="Times New Roman" w:eastAsia="Times New Roman" w:cs="Times New Roman"/>
        <w:b w:val="0"/>
        <w:bCs w:val="0"/>
        <w:i w:val="0"/>
        <w:iCs w:val="0"/>
        <w:caps w:val="0"/>
        <w:smallCaps w:val="0"/>
        <w:strike w:val="0"/>
        <w:spacing w:val="0"/>
        <w:position w:val="0"/>
        <w:highlight w:val="none"/>
        <w:vertAlign w:val="baseline"/>
      </w:rPr>
    </w:lvl>
    <w:lvl w:ilvl="3">
      <w:start w:val="1"/>
      <w:numFmt w:val="bullet"/>
      <w:isLgl w:val="false"/>
      <w:suff w:val="tab"/>
      <w:lvlText w:val="-"/>
      <w:lvlJc w:val="left"/>
      <w:pPr>
        <w:ind w:left="863" w:hanging="154"/>
      </w:pPr>
      <w:rPr>
        <w:rFonts w:ascii="Times New Roman" w:hAnsi="Times New Roman" w:eastAsia="Times New Roman" w:cs="Times New Roman"/>
        <w:b w:val="0"/>
        <w:bCs w:val="0"/>
        <w:i w:val="0"/>
        <w:iCs w:val="0"/>
        <w:caps w:val="0"/>
        <w:smallCaps w:val="0"/>
        <w:strike w:val="0"/>
        <w:spacing w:val="0"/>
        <w:position w:val="0"/>
        <w:highlight w:val="none"/>
        <w:vertAlign w:val="baseline"/>
      </w:rPr>
    </w:lvl>
    <w:lvl w:ilvl="4">
      <w:start w:val="1"/>
      <w:numFmt w:val="bullet"/>
      <w:isLgl w:val="false"/>
      <w:suff w:val="tab"/>
      <w:lvlText w:val="-"/>
      <w:lvlJc w:val="left"/>
      <w:pPr>
        <w:ind w:left="863" w:hanging="154"/>
      </w:pPr>
      <w:rPr>
        <w:rFonts w:ascii="Times New Roman" w:hAnsi="Times New Roman" w:eastAsia="Times New Roman" w:cs="Times New Roman"/>
        <w:b w:val="0"/>
        <w:bCs w:val="0"/>
        <w:i w:val="0"/>
        <w:iCs w:val="0"/>
        <w:caps w:val="0"/>
        <w:smallCaps w:val="0"/>
        <w:strike w:val="0"/>
        <w:spacing w:val="0"/>
        <w:position w:val="0"/>
        <w:highlight w:val="none"/>
        <w:vertAlign w:val="baseline"/>
      </w:rPr>
    </w:lvl>
    <w:lvl w:ilvl="5">
      <w:start w:val="1"/>
      <w:numFmt w:val="bullet"/>
      <w:isLgl w:val="false"/>
      <w:suff w:val="tab"/>
      <w:lvlText w:val="-"/>
      <w:lvlJc w:val="left"/>
      <w:pPr>
        <w:ind w:left="863" w:hanging="154"/>
      </w:pPr>
      <w:rPr>
        <w:rFonts w:ascii="Times New Roman" w:hAnsi="Times New Roman" w:eastAsia="Times New Roman" w:cs="Times New Roman"/>
        <w:b w:val="0"/>
        <w:bCs w:val="0"/>
        <w:i w:val="0"/>
        <w:iCs w:val="0"/>
        <w:caps w:val="0"/>
        <w:smallCaps w:val="0"/>
        <w:strike w:val="0"/>
        <w:spacing w:val="0"/>
        <w:position w:val="0"/>
        <w:highlight w:val="none"/>
        <w:vertAlign w:val="baseline"/>
      </w:rPr>
    </w:lvl>
    <w:lvl w:ilvl="6">
      <w:start w:val="1"/>
      <w:numFmt w:val="bullet"/>
      <w:isLgl w:val="false"/>
      <w:suff w:val="tab"/>
      <w:lvlText w:val="-"/>
      <w:lvlJc w:val="left"/>
      <w:pPr>
        <w:ind w:left="863" w:hanging="154"/>
      </w:pPr>
      <w:rPr>
        <w:rFonts w:ascii="Times New Roman" w:hAnsi="Times New Roman" w:eastAsia="Times New Roman" w:cs="Times New Roman"/>
        <w:b w:val="0"/>
        <w:bCs w:val="0"/>
        <w:i w:val="0"/>
        <w:iCs w:val="0"/>
        <w:caps w:val="0"/>
        <w:smallCaps w:val="0"/>
        <w:strike w:val="0"/>
        <w:spacing w:val="0"/>
        <w:position w:val="0"/>
        <w:highlight w:val="none"/>
        <w:vertAlign w:val="baseline"/>
      </w:rPr>
    </w:lvl>
    <w:lvl w:ilvl="7">
      <w:start w:val="1"/>
      <w:numFmt w:val="bullet"/>
      <w:isLgl w:val="false"/>
      <w:suff w:val="tab"/>
      <w:lvlText w:val="-"/>
      <w:lvlJc w:val="left"/>
      <w:pPr>
        <w:ind w:left="863" w:hanging="154"/>
      </w:pPr>
      <w:rPr>
        <w:rFonts w:ascii="Times New Roman" w:hAnsi="Times New Roman" w:eastAsia="Times New Roman" w:cs="Times New Roman"/>
        <w:b w:val="0"/>
        <w:bCs w:val="0"/>
        <w:i w:val="0"/>
        <w:iCs w:val="0"/>
        <w:caps w:val="0"/>
        <w:smallCaps w:val="0"/>
        <w:strike w:val="0"/>
        <w:spacing w:val="0"/>
        <w:position w:val="0"/>
        <w:highlight w:val="none"/>
        <w:vertAlign w:val="baseline"/>
      </w:rPr>
    </w:lvl>
    <w:lvl w:ilvl="8">
      <w:start w:val="1"/>
      <w:numFmt w:val="bullet"/>
      <w:isLgl w:val="false"/>
      <w:suff w:val="tab"/>
      <w:lvlText w:val="-"/>
      <w:lvlJc w:val="left"/>
      <w:pPr>
        <w:ind w:left="863" w:hanging="154"/>
      </w:pPr>
      <w:rPr>
        <w:rFonts w:ascii="Times New Roman" w:hAnsi="Times New Roman" w:eastAsia="Times New Roman" w:cs="Times New Roman"/>
        <w:b w:val="0"/>
        <w:bCs w:val="0"/>
        <w:i w:val="0"/>
        <w:iCs w:val="0"/>
        <w:caps w:val="0"/>
        <w:smallCaps w:val="0"/>
        <w:strike w:val="0"/>
        <w:spacing w:val="0"/>
        <w:position w:val="0"/>
        <w:highlight w:val="none"/>
        <w:vertAlign w:val="baseline"/>
      </w:rPr>
    </w:lvl>
  </w:abstractNum>
  <w:abstractNum w:abstractNumId="3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  <w:rPr>
        <w:rFonts w:cs="Times New Roman"/>
      </w:r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cs="Times New Roman"/>
        <w:sz w:val="24"/>
        <w:szCs w:val="24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5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b/>
        <w:sz w:val="22"/>
      </w:rPr>
    </w:lvl>
    <w:lvl w:ilvl="1">
      <w:start w:val="1"/>
      <w:numFmt w:val="russianLower"/>
      <w:isLgl w:val="false"/>
      <w:suff w:val="tab"/>
      <w:lvlText w:val="%2)"/>
      <w:lvlJc w:val="left"/>
      <w:pPr>
        <w:ind w:left="792" w:hanging="432"/>
      </w:pPr>
      <w:rPr>
        <w:rFonts w:cs="Times New Roman"/>
        <w:b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7">
    <w:multiLevelType w:val="hybridMultilevel"/>
    <w:lvl w:ilvl="0">
      <w:start w:val="1"/>
      <w:numFmt w:val="bullet"/>
      <w:isLgl w:val="false"/>
      <w:suff w:val="tab"/>
      <w:lvlText w:val="­"/>
      <w:lvlJc w:val="left"/>
      <w:pPr>
        <w:ind w:left="720" w:hanging="360"/>
      </w:pPr>
      <w:rPr>
        <w:rFonts w:hint="default" w:ascii="Arial (WT)" w:hAnsi="Arial (WT)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8">
    <w:multiLevelType w:val="hybridMultilevel"/>
    <w:lvl w:ilvl="0">
      <w:start w:val="1"/>
      <w:numFmt w:val="decimal"/>
      <w:pStyle w:val="1265"/>
      <w:isLgl w:val="false"/>
      <w:suff w:val="tab"/>
      <w:lvlText w:val="%1."/>
      <w:lvlJc w:val="left"/>
      <w:pPr>
        <w:ind w:left="432" w:hanging="432"/>
        <w:tabs>
          <w:tab w:val="num" w:pos="432" w:leader="none"/>
        </w:tabs>
      </w:pPr>
      <w:rPr>
        <w:rFonts w:hint="default"/>
      </w:rPr>
    </w:lvl>
    <w:lvl w:ilvl="1">
      <w:start w:val="1"/>
      <w:numFmt w:val="decimal"/>
      <w:pStyle w:val="1268"/>
      <w:isLgl w:val="false"/>
      <w:suff w:val="tab"/>
      <w:lvlText w:val="%1.%2"/>
      <w:lvlJc w:val="left"/>
      <w:pPr>
        <w:ind w:left="1836" w:hanging="576"/>
        <w:tabs>
          <w:tab w:val="num" w:pos="1836" w:leader="none"/>
        </w:tabs>
      </w:pPr>
      <w:rPr>
        <w:rFonts w:hint="default"/>
      </w:rPr>
    </w:lvl>
    <w:lvl w:ilvl="2">
      <w:start w:val="1"/>
      <w:numFmt w:val="decimal"/>
      <w:pStyle w:val="1269"/>
      <w:isLgl w:val="false"/>
      <w:suff w:val="tab"/>
      <w:lvlText w:val="%1.%2.%3"/>
      <w:lvlJc w:val="left"/>
      <w:pPr>
        <w:ind w:left="1080"/>
        <w:tabs>
          <w:tab w:val="num" w:pos="1307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864" w:hanging="864"/>
        <w:tabs>
          <w:tab w:val="num" w:pos="864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  <w:tabs>
          <w:tab w:val="num" w:pos="100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  <w:tabs>
          <w:tab w:val="num" w:pos="115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  <w:rPr>
        <w:rFonts w:hint="default"/>
      </w:rPr>
    </w:lvl>
  </w:abstractNum>
  <w:abstractNum w:abstractNumId="39">
    <w:multiLevelType w:val="hybridMultilevel"/>
    <w:lvl w:ilvl="0">
      <w:start w:val="1"/>
      <w:numFmt w:val="upperRoman"/>
      <w:isLgl w:val="false"/>
      <w:suff w:val="tab"/>
      <w:lvlText w:val="%1."/>
      <w:lvlJc w:val="right"/>
      <w:pPr>
        <w:ind w:left="720" w:hanging="180"/>
        <w:tabs>
          <w:tab w:val="num" w:pos="720" w:leader="none"/>
        </w:tabs>
      </w:pPr>
      <w:rPr>
        <w:rFonts w:hint="default" w:ascii="Times New Roman" w:hAnsi="Times New Roman" w:cs="Times New Roman"/>
        <w:b/>
        <w:color w:val="auto"/>
        <w:sz w:val="24"/>
        <w:szCs w:val="24"/>
      </w:rPr>
    </w:lvl>
    <w:lvl w:ilvl="1">
      <w:start w:val="1"/>
      <w:numFmt w:val="decimal"/>
      <w:isLgl w:val="false"/>
      <w:suff w:val="tab"/>
      <w:lvlText w:val="Форма %2."/>
      <w:lvlJc w:val="left"/>
      <w:pPr>
        <w:ind w:left="1440" w:hanging="360"/>
        <w:tabs>
          <w:tab w:val="num" w:pos="2160" w:leader="none"/>
        </w:tabs>
      </w:pPr>
      <w:rPr>
        <w:rFonts w:hint="default" w:ascii="Times New Roman" w:hAnsi="Times New Roman" w:cs="Times New Roman"/>
        <w:b/>
        <w:bCs/>
        <w:i w:val="0"/>
        <w:iCs w:val="0"/>
        <w:sz w:val="26"/>
        <w:szCs w:val="26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40">
    <w:multiLevelType w:val="hybridMultilevel"/>
    <w:lvl w:ilvl="0">
      <w:start w:val="1"/>
      <w:numFmt w:val="bullet"/>
      <w:isLgl w:val="false"/>
      <w:suff w:val="tab"/>
      <w:lvlText w:val=""/>
      <w:lvlJc w:val="left"/>
      <w:pPr>
        <w:ind w:left="828" w:hanging="360"/>
      </w:pPr>
      <w:rPr>
        <w:rFonts w:hint="default"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1548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26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98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708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42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14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868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588" w:hanging="360"/>
      </w:pPr>
      <w:rPr>
        <w:rFonts w:hint="default" w:ascii="Wingdings" w:hAnsi="Wingdings"/>
      </w:rPr>
    </w:lvl>
  </w:abstractNum>
  <w:abstractNum w:abstractNumId="41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85" w:hanging="360"/>
      </w:pPr>
      <w:rPr>
        <w:b/>
        <w:color w:val="auto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8" w:hanging="360"/>
        <w:tabs>
          <w:tab w:val="num" w:pos="1428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2148" w:hanging="360"/>
        <w:tabs>
          <w:tab w:val="num" w:pos="2148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868" w:hanging="360"/>
        <w:tabs>
          <w:tab w:val="num" w:pos="2868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588" w:hanging="360"/>
        <w:tabs>
          <w:tab w:val="num" w:pos="3588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4308" w:hanging="360"/>
        <w:tabs>
          <w:tab w:val="num" w:pos="4308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5028" w:hanging="360"/>
        <w:tabs>
          <w:tab w:val="num" w:pos="5028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748" w:hanging="360"/>
        <w:tabs>
          <w:tab w:val="num" w:pos="5748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6468" w:hanging="360"/>
        <w:tabs>
          <w:tab w:val="num" w:pos="6468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7188" w:hanging="360"/>
        <w:tabs>
          <w:tab w:val="num" w:pos="7188" w:leader="none"/>
        </w:tabs>
      </w:pPr>
    </w:lvl>
  </w:abstractNum>
  <w:abstractNum w:abstractNumId="43">
    <w:multiLevelType w:val="hybridMultilevel"/>
    <w:lvl w:ilvl="0">
      <w:start w:val="1"/>
      <w:numFmt w:val="decimal"/>
      <w:pStyle w:val="1333"/>
      <w:isLgl w:val="false"/>
      <w:suff w:val="tab"/>
      <w:lvlText w:val="%1."/>
      <w:lvlJc w:val="center"/>
      <w:pPr>
        <w:ind w:left="0" w:firstLine="0"/>
        <w:tabs>
          <w:tab w:val="num" w:pos="2977" w:leader="none"/>
        </w:tabs>
      </w:pPr>
      <w:rPr>
        <w:rFonts w:cs="Times New Roman"/>
        <w:bCs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pStyle w:val="1335"/>
      <w:isLgl w:val="false"/>
      <w:suff w:val="tab"/>
      <w:lvlText w:val="%1.%2"/>
      <w:lvlJc w:val="left"/>
      <w:pPr>
        <w:ind w:left="0" w:firstLine="567"/>
        <w:tabs>
          <w:tab w:val="num" w:pos="4680" w:leader="none"/>
        </w:tabs>
      </w:pPr>
      <w:rPr>
        <w:rFonts w:cs="Times New Roman"/>
        <w:bCs/>
        <w:iCs w:val="0"/>
        <w:caps w:val="0"/>
        <w:strike w:val="0"/>
        <w:vanish w:val="0"/>
        <w:color w:val="auto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1334"/>
      <w:isLgl w:val="false"/>
      <w:suff w:val="tab"/>
      <w:lvlText w:val="%1.%2.%3"/>
      <w:lvlJc w:val="left"/>
      <w:pPr>
        <w:ind w:left="0" w:firstLine="567"/>
        <w:tabs>
          <w:tab w:val="num" w:pos="4399" w:leader="none"/>
        </w:tabs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0" w:firstLine="567"/>
        <w:tabs>
          <w:tab w:val="num" w:pos="1985" w:leader="none"/>
        </w:tabs>
      </w:pPr>
      <w:rPr>
        <w:rFonts w:cs="Times New Roman"/>
        <w:b w:val="0"/>
        <w:bCs w:val="0"/>
        <w:i w:val="0"/>
        <w:iCs w:val="0"/>
        <w:caps w:val="0"/>
        <w:strike w:val="0"/>
        <w:vanish w:val="0"/>
        <w:color w:val="auto"/>
        <w:spacing w:val="0"/>
        <w:position w:val="0"/>
        <w:u w:val="none"/>
        <w:vertAlign w:val="baseline"/>
      </w:rPr>
    </w:lvl>
    <w:lvl w:ilvl="4">
      <w:start w:val="1"/>
      <w:numFmt w:val="russianLower"/>
      <w:pStyle w:val="1336"/>
      <w:isLgl w:val="false"/>
      <w:suff w:val="tab"/>
      <w:lvlText w:val="%5)"/>
      <w:lvlJc w:val="left"/>
      <w:pPr>
        <w:ind w:left="0" w:firstLine="567"/>
        <w:tabs>
          <w:tab w:val="num" w:pos="1703" w:leader="none"/>
        </w:tabs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isLgl w:val="false"/>
      <w:suff w:val="tab"/>
      <w:lvlText w:val="%6)"/>
      <w:lvlJc w:val="left"/>
      <w:pPr>
        <w:ind w:left="2551" w:hanging="567"/>
        <w:tabs>
          <w:tab w:val="num" w:pos="2551" w:leader="none"/>
        </w:tabs>
      </w:pPr>
      <w:rPr>
        <w:rFonts w:cs="Times New Roman"/>
      </w:rPr>
    </w:lvl>
    <w:lvl w:ilvl="6">
      <w:start w:val="1"/>
      <w:numFmt w:val="lowerRoman"/>
      <w:isLgl w:val="false"/>
      <w:suff w:val="tab"/>
      <w:lvlText w:val="%7)"/>
      <w:lvlJc w:val="left"/>
      <w:pPr>
        <w:ind w:left="2268" w:hanging="567"/>
        <w:tabs>
          <w:tab w:val="num" w:pos="2268" w:leader="none"/>
        </w:tabs>
      </w:pPr>
      <w:rPr>
        <w:rFonts w:cs="Times New Roman"/>
      </w:rPr>
    </w:lvl>
    <w:lvl w:ilvl="7">
      <w:start w:val="1"/>
      <w:numFmt w:val="decimal"/>
      <w:isLgl w:val="false"/>
      <w:suff w:val="tab"/>
      <w:lvlText w:val="%5.%6.%7.%8)"/>
      <w:lvlJc w:val="left"/>
      <w:pPr>
        <w:ind w:left="1448" w:hanging="567"/>
        <w:tabs>
          <w:tab w:val="num" w:pos="1448" w:leader="none"/>
        </w:tabs>
      </w:pPr>
      <w:rPr>
        <w:rFonts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366" w:hanging="1440"/>
        <w:tabs>
          <w:tab w:val="num" w:pos="4166" w:leader="none"/>
        </w:tabs>
      </w:pPr>
      <w:rPr>
        <w:rFonts w:cs="Times New Roman"/>
      </w:rPr>
    </w:lvl>
  </w:abstractNum>
  <w:abstractNum w:abstractNumId="44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287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200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2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4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6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8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60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2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47" w:hanging="180"/>
      </w:pPr>
    </w:lvl>
  </w:abstractNum>
  <w:abstractNum w:abstractNumId="45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152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872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92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312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032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752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72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92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912" w:hanging="180"/>
      </w:pPr>
    </w:lvl>
  </w:abstractNum>
  <w:abstractNum w:abstractNumId="4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 w:val="0"/>
        <w:sz w:val="26"/>
      </w:rPr>
    </w:lvl>
    <w:lvl w:ilvl="1">
      <w:start w:val="1"/>
      <w:numFmt w:val="decimal"/>
      <w:isLgl/>
      <w:suff w:val="tab"/>
      <w:lvlText w:val="%1.%2"/>
      <w:lvlJc w:val="left"/>
      <w:pPr>
        <w:ind w:left="720" w:hanging="360"/>
      </w:pPr>
      <w:rPr>
        <w:rFonts w:hint="default"/>
        <w:b w:val="0"/>
        <w:sz w:val="26"/>
      </w:rPr>
    </w:lvl>
    <w:lvl w:ilvl="2">
      <w:start w:val="1"/>
      <w:numFmt w:val="decimal"/>
      <w:isLgl/>
      <w:suff w:val="tab"/>
      <w:lvlText w:val="%1.%2.%3"/>
      <w:lvlJc w:val="left"/>
      <w:pPr>
        <w:ind w:left="1080" w:hanging="720"/>
      </w:pPr>
      <w:rPr>
        <w:rFonts w:hint="default"/>
        <w:sz w:val="26"/>
      </w:rPr>
    </w:lvl>
    <w:lvl w:ilvl="3">
      <w:start w:val="1"/>
      <w:numFmt w:val="decimal"/>
      <w:isLgl/>
      <w:suff w:val="tab"/>
      <w:lvlText w:val="%1.%2.%3.%4"/>
      <w:lvlJc w:val="left"/>
      <w:pPr>
        <w:ind w:left="1080" w:hanging="720"/>
      </w:pPr>
      <w:rPr>
        <w:rFonts w:hint="default"/>
        <w:sz w:val="26"/>
      </w:rPr>
    </w:lvl>
    <w:lvl w:ilvl="4">
      <w:start w:val="1"/>
      <w:numFmt w:val="decimal"/>
      <w:isLgl/>
      <w:suff w:val="tab"/>
      <w:lvlText w:val="%1.%2.%3.%4.%5"/>
      <w:lvlJc w:val="left"/>
      <w:pPr>
        <w:ind w:left="1440" w:hanging="1080"/>
      </w:pPr>
      <w:rPr>
        <w:rFonts w:hint="default"/>
        <w:sz w:val="26"/>
      </w:rPr>
    </w:lvl>
    <w:lvl w:ilvl="5">
      <w:start w:val="1"/>
      <w:numFmt w:val="decimal"/>
      <w:isLgl/>
      <w:suff w:val="tab"/>
      <w:lvlText w:val="%1.%2.%3.%4.%5.%6"/>
      <w:lvlJc w:val="left"/>
      <w:pPr>
        <w:ind w:left="1440" w:hanging="1080"/>
      </w:pPr>
      <w:rPr>
        <w:rFonts w:hint="default"/>
        <w:sz w:val="26"/>
      </w:rPr>
    </w:lvl>
    <w:lvl w:ilvl="6">
      <w:start w:val="1"/>
      <w:numFmt w:val="decimal"/>
      <w:isLgl/>
      <w:suff w:val="tab"/>
      <w:lvlText w:val="%1.%2.%3.%4.%5.%6.%7"/>
      <w:lvlJc w:val="left"/>
      <w:pPr>
        <w:ind w:left="1800" w:hanging="1440"/>
      </w:pPr>
      <w:rPr>
        <w:rFonts w:hint="default"/>
        <w:sz w:val="26"/>
      </w:rPr>
    </w:lvl>
    <w:lvl w:ilvl="7">
      <w:start w:val="1"/>
      <w:numFmt w:val="decimal"/>
      <w:isLgl/>
      <w:suff w:val="tab"/>
      <w:lvlText w:val="%1.%2.%3.%4.%5.%6.%7.%8"/>
      <w:lvlJc w:val="left"/>
      <w:pPr>
        <w:ind w:left="1800" w:hanging="1440"/>
      </w:pPr>
      <w:rPr>
        <w:rFonts w:hint="default"/>
        <w:sz w:val="26"/>
      </w:rPr>
    </w:lvl>
    <w:lvl w:ilvl="8">
      <w:start w:val="1"/>
      <w:numFmt w:val="decimal"/>
      <w:isLgl/>
      <w:suff w:val="tab"/>
      <w:lvlText w:val="%1.%2.%3.%4.%5.%6.%7.%8.%9"/>
      <w:lvlJc w:val="left"/>
      <w:pPr>
        <w:ind w:left="1800" w:hanging="1440"/>
      </w:pPr>
      <w:rPr>
        <w:rFonts w:hint="default"/>
        <w:sz w:val="26"/>
      </w:rPr>
    </w:lvl>
  </w:abstractNum>
  <w:abstractNum w:abstractNumId="4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 w:val="0"/>
        <w:sz w:val="26"/>
      </w:rPr>
    </w:lvl>
    <w:lvl w:ilvl="1">
      <w:start w:val="1"/>
      <w:numFmt w:val="decimal"/>
      <w:isLgl/>
      <w:suff w:val="tab"/>
      <w:lvlText w:val="%1.%2"/>
      <w:lvlJc w:val="left"/>
      <w:pPr>
        <w:ind w:left="720" w:hanging="360"/>
      </w:pPr>
      <w:rPr>
        <w:rFonts w:hint="default"/>
        <w:b w:val="0"/>
        <w:sz w:val="26"/>
      </w:rPr>
    </w:lvl>
    <w:lvl w:ilvl="2">
      <w:start w:val="1"/>
      <w:numFmt w:val="decimal"/>
      <w:isLgl/>
      <w:suff w:val="tab"/>
      <w:lvlText w:val="%1.%2.%3"/>
      <w:lvlJc w:val="left"/>
      <w:pPr>
        <w:ind w:left="1080" w:hanging="720"/>
      </w:pPr>
      <w:rPr>
        <w:rFonts w:hint="default"/>
        <w:sz w:val="26"/>
      </w:rPr>
    </w:lvl>
    <w:lvl w:ilvl="3">
      <w:start w:val="1"/>
      <w:numFmt w:val="decimal"/>
      <w:isLgl/>
      <w:suff w:val="tab"/>
      <w:lvlText w:val="%1.%2.%3.%4"/>
      <w:lvlJc w:val="left"/>
      <w:pPr>
        <w:ind w:left="1080" w:hanging="720"/>
      </w:pPr>
      <w:rPr>
        <w:rFonts w:hint="default"/>
        <w:sz w:val="26"/>
      </w:rPr>
    </w:lvl>
    <w:lvl w:ilvl="4">
      <w:start w:val="1"/>
      <w:numFmt w:val="decimal"/>
      <w:isLgl/>
      <w:suff w:val="tab"/>
      <w:lvlText w:val="%1.%2.%3.%4.%5"/>
      <w:lvlJc w:val="left"/>
      <w:pPr>
        <w:ind w:left="1440" w:hanging="1080"/>
      </w:pPr>
      <w:rPr>
        <w:rFonts w:hint="default"/>
        <w:sz w:val="26"/>
      </w:rPr>
    </w:lvl>
    <w:lvl w:ilvl="5">
      <w:start w:val="1"/>
      <w:numFmt w:val="decimal"/>
      <w:isLgl/>
      <w:suff w:val="tab"/>
      <w:lvlText w:val="%1.%2.%3.%4.%5.%6"/>
      <w:lvlJc w:val="left"/>
      <w:pPr>
        <w:ind w:left="1440" w:hanging="1080"/>
      </w:pPr>
      <w:rPr>
        <w:rFonts w:hint="default"/>
        <w:sz w:val="26"/>
      </w:rPr>
    </w:lvl>
    <w:lvl w:ilvl="6">
      <w:start w:val="1"/>
      <w:numFmt w:val="decimal"/>
      <w:isLgl/>
      <w:suff w:val="tab"/>
      <w:lvlText w:val="%1.%2.%3.%4.%5.%6.%7"/>
      <w:lvlJc w:val="left"/>
      <w:pPr>
        <w:ind w:left="1800" w:hanging="1440"/>
      </w:pPr>
      <w:rPr>
        <w:rFonts w:hint="default"/>
        <w:sz w:val="26"/>
      </w:rPr>
    </w:lvl>
    <w:lvl w:ilvl="7">
      <w:start w:val="1"/>
      <w:numFmt w:val="decimal"/>
      <w:isLgl/>
      <w:suff w:val="tab"/>
      <w:lvlText w:val="%1.%2.%3.%4.%5.%6.%7.%8"/>
      <w:lvlJc w:val="left"/>
      <w:pPr>
        <w:ind w:left="1800" w:hanging="1440"/>
      </w:pPr>
      <w:rPr>
        <w:rFonts w:hint="default"/>
        <w:sz w:val="26"/>
      </w:rPr>
    </w:lvl>
    <w:lvl w:ilvl="8">
      <w:start w:val="1"/>
      <w:numFmt w:val="decimal"/>
      <w:isLgl/>
      <w:suff w:val="tab"/>
      <w:lvlText w:val="%1.%2.%3.%4.%5.%6.%7.%8.%9"/>
      <w:lvlJc w:val="left"/>
      <w:pPr>
        <w:ind w:left="1800" w:hanging="1440"/>
      </w:pPr>
      <w:rPr>
        <w:rFonts w:hint="default"/>
        <w:sz w:val="26"/>
      </w:rPr>
    </w:lvl>
  </w:abstractNum>
  <w:abstractNum w:abstractNumId="4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 w:val="0"/>
        <w:sz w:val="26"/>
      </w:rPr>
    </w:lvl>
    <w:lvl w:ilvl="1">
      <w:start w:val="1"/>
      <w:numFmt w:val="decimal"/>
      <w:isLgl/>
      <w:suff w:val="tab"/>
      <w:lvlText w:val="%1.%2"/>
      <w:lvlJc w:val="left"/>
      <w:pPr>
        <w:ind w:left="720" w:hanging="360"/>
      </w:pPr>
      <w:rPr>
        <w:rFonts w:hint="default"/>
        <w:b w:val="0"/>
        <w:sz w:val="26"/>
      </w:rPr>
    </w:lvl>
    <w:lvl w:ilvl="2">
      <w:start w:val="1"/>
      <w:numFmt w:val="decimal"/>
      <w:isLgl/>
      <w:suff w:val="tab"/>
      <w:lvlText w:val="%1.%2.%3"/>
      <w:lvlJc w:val="left"/>
      <w:pPr>
        <w:ind w:left="1080" w:hanging="720"/>
      </w:pPr>
      <w:rPr>
        <w:rFonts w:hint="default"/>
        <w:sz w:val="26"/>
      </w:rPr>
    </w:lvl>
    <w:lvl w:ilvl="3">
      <w:start w:val="1"/>
      <w:numFmt w:val="decimal"/>
      <w:isLgl/>
      <w:suff w:val="tab"/>
      <w:lvlText w:val="%1.%2.%3.%4"/>
      <w:lvlJc w:val="left"/>
      <w:pPr>
        <w:ind w:left="1080" w:hanging="720"/>
      </w:pPr>
      <w:rPr>
        <w:rFonts w:hint="default"/>
        <w:sz w:val="26"/>
      </w:rPr>
    </w:lvl>
    <w:lvl w:ilvl="4">
      <w:start w:val="1"/>
      <w:numFmt w:val="decimal"/>
      <w:isLgl/>
      <w:suff w:val="tab"/>
      <w:lvlText w:val="%1.%2.%3.%4.%5"/>
      <w:lvlJc w:val="left"/>
      <w:pPr>
        <w:ind w:left="1440" w:hanging="1080"/>
      </w:pPr>
      <w:rPr>
        <w:rFonts w:hint="default"/>
        <w:sz w:val="26"/>
      </w:rPr>
    </w:lvl>
    <w:lvl w:ilvl="5">
      <w:start w:val="1"/>
      <w:numFmt w:val="decimal"/>
      <w:isLgl/>
      <w:suff w:val="tab"/>
      <w:lvlText w:val="%1.%2.%3.%4.%5.%6"/>
      <w:lvlJc w:val="left"/>
      <w:pPr>
        <w:ind w:left="1440" w:hanging="1080"/>
      </w:pPr>
      <w:rPr>
        <w:rFonts w:hint="default"/>
        <w:sz w:val="26"/>
      </w:rPr>
    </w:lvl>
    <w:lvl w:ilvl="6">
      <w:start w:val="1"/>
      <w:numFmt w:val="decimal"/>
      <w:isLgl/>
      <w:suff w:val="tab"/>
      <w:lvlText w:val="%1.%2.%3.%4.%5.%6.%7"/>
      <w:lvlJc w:val="left"/>
      <w:pPr>
        <w:ind w:left="1800" w:hanging="1440"/>
      </w:pPr>
      <w:rPr>
        <w:rFonts w:hint="default"/>
        <w:sz w:val="26"/>
      </w:rPr>
    </w:lvl>
    <w:lvl w:ilvl="7">
      <w:start w:val="1"/>
      <w:numFmt w:val="decimal"/>
      <w:isLgl/>
      <w:suff w:val="tab"/>
      <w:lvlText w:val="%1.%2.%3.%4.%5.%6.%7.%8"/>
      <w:lvlJc w:val="left"/>
      <w:pPr>
        <w:ind w:left="1800" w:hanging="1440"/>
      </w:pPr>
      <w:rPr>
        <w:rFonts w:hint="default"/>
        <w:sz w:val="26"/>
      </w:rPr>
    </w:lvl>
    <w:lvl w:ilvl="8">
      <w:start w:val="1"/>
      <w:numFmt w:val="decimal"/>
      <w:isLgl/>
      <w:suff w:val="tab"/>
      <w:lvlText w:val="%1.%2.%3.%4.%5.%6.%7.%8.%9"/>
      <w:lvlJc w:val="left"/>
      <w:pPr>
        <w:ind w:left="1800" w:hanging="1440"/>
      </w:pPr>
      <w:rPr>
        <w:rFonts w:hint="default"/>
        <w:sz w:val="26"/>
      </w:rPr>
    </w:lvl>
  </w:abstractNum>
  <w:abstractNum w:abstractNumId="49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85" w:hanging="360"/>
      </w:pPr>
      <w:rPr>
        <w:rFonts w:hint="default" w:ascii="Symbol" w:hAnsi="Symbol"/>
        <w:b/>
        <w:color w:val="auto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0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28"/>
  </w:num>
  <w:num w:numId="2">
    <w:abstractNumId w:val="12"/>
  </w:num>
  <w:num w:numId="3">
    <w:abstractNumId w:val="38"/>
  </w:num>
  <w:num w:numId="4">
    <w:abstractNumId w:val="39"/>
  </w:num>
  <w:num w:numId="5">
    <w:abstractNumId w:val="26"/>
  </w:num>
  <w:num w:numId="6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29"/>
  </w:num>
  <w:num w:numId="9">
    <w:abstractNumId w:val="19"/>
  </w:num>
  <w:num w:numId="10">
    <w:abstractNumId w:val="45"/>
  </w:num>
  <w:num w:numId="11">
    <w:abstractNumId w:val="8"/>
  </w:num>
  <w:num w:numId="12">
    <w:abstractNumId w:val="14"/>
  </w:num>
  <w:num w:numId="13">
    <w:abstractNumId w:val="18"/>
  </w:num>
  <w:num w:numId="14">
    <w:abstractNumId w:val="16"/>
  </w:num>
  <w:num w:numId="15">
    <w:abstractNumId w:val="5"/>
  </w:num>
  <w:num w:numId="16">
    <w:abstractNumId w:val="34"/>
    <w:lvlOverride w:ilvl="0">
      <w:startOverride w:val="1"/>
    </w:lvlOverride>
  </w:num>
  <w:num w:numId="17">
    <w:abstractNumId w:val="33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</w:num>
  <w:num w:numId="19">
    <w:abstractNumId w:val="2"/>
  </w:num>
  <w:num w:numId="20">
    <w:abstractNumId w:val="4"/>
  </w:num>
  <w:num w:numId="21">
    <w:abstractNumId w:val="13"/>
  </w:num>
  <w:num w:numId="22">
    <w:abstractNumId w:val="42"/>
  </w:num>
  <w:num w:numId="23">
    <w:abstractNumId w:val="7"/>
  </w:num>
  <w:num w:numId="24">
    <w:abstractNumId w:val="22"/>
  </w:num>
  <w:num w:numId="25">
    <w:abstractNumId w:val="15"/>
  </w:num>
  <w:num w:numId="26">
    <w:abstractNumId w:val="23"/>
  </w:num>
  <w:num w:numId="2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7"/>
  </w:num>
  <w:num w:numId="29">
    <w:abstractNumId w:val="0"/>
  </w:num>
  <w:num w:numId="30">
    <w:abstractNumId w:val="41"/>
  </w:num>
  <w:num w:numId="31">
    <w:abstractNumId w:val="35"/>
  </w:num>
  <w:num w:numId="32">
    <w:abstractNumId w:val="24"/>
  </w:num>
  <w:num w:numId="33">
    <w:abstractNumId w:val="37"/>
  </w:num>
  <w:num w:numId="34">
    <w:abstractNumId w:val="3"/>
  </w:num>
  <w:num w:numId="35">
    <w:abstractNumId w:val="27"/>
  </w:num>
  <w:num w:numId="36">
    <w:abstractNumId w:val="44"/>
  </w:num>
  <w:num w:numId="37">
    <w:abstractNumId w:val="10"/>
  </w:num>
  <w:num w:numId="38">
    <w:abstractNumId w:val="40"/>
  </w:num>
  <w:num w:numId="39">
    <w:abstractNumId w:val="30"/>
  </w:num>
  <w:num w:numId="40">
    <w:abstractNumId w:val="25"/>
  </w:num>
  <w:num w:numId="41">
    <w:abstractNumId w:val="11"/>
  </w:num>
  <w:num w:numId="42">
    <w:abstractNumId w:val="6"/>
  </w:num>
  <w:num w:numId="43">
    <w:abstractNumId w:val="21"/>
  </w:num>
  <w:num w:numId="44">
    <w:abstractNumId w:val="32"/>
  </w:num>
  <w:num w:numId="45">
    <w:abstractNumId w:val="31"/>
  </w:num>
  <w:num w:numId="46">
    <w:abstractNumId w:val="20"/>
  </w:num>
  <w:num w:numId="47">
    <w:abstractNumId w:val="46"/>
  </w:num>
  <w:num w:numId="48">
    <w:abstractNumId w:val="47"/>
  </w:num>
  <w:num w:numId="49">
    <w:abstractNumId w:val="48"/>
  </w:num>
  <w:num w:numId="50">
    <w:abstractNumId w:val="49"/>
  </w:num>
  <w:num w:numId="51">
    <w:abstractNumId w:val="5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999">
    <w:name w:val="Heading 1 Char"/>
    <w:basedOn w:val="1157"/>
    <w:link w:val="1148"/>
    <w:uiPriority w:val="9"/>
    <w:rPr>
      <w:rFonts w:ascii="Arial" w:hAnsi="Arial" w:eastAsia="Arial" w:cs="Arial"/>
      <w:sz w:val="40"/>
      <w:szCs w:val="40"/>
    </w:rPr>
  </w:style>
  <w:style w:type="character" w:styleId="1000">
    <w:name w:val="Heading 2 Char"/>
    <w:basedOn w:val="1157"/>
    <w:link w:val="1149"/>
    <w:uiPriority w:val="9"/>
    <w:rPr>
      <w:rFonts w:ascii="Arial" w:hAnsi="Arial" w:eastAsia="Arial" w:cs="Arial"/>
      <w:sz w:val="34"/>
    </w:rPr>
  </w:style>
  <w:style w:type="character" w:styleId="1001">
    <w:name w:val="Heading 3 Char"/>
    <w:basedOn w:val="1157"/>
    <w:link w:val="1150"/>
    <w:uiPriority w:val="9"/>
    <w:rPr>
      <w:rFonts w:ascii="Arial" w:hAnsi="Arial" w:eastAsia="Arial" w:cs="Arial"/>
      <w:sz w:val="30"/>
      <w:szCs w:val="30"/>
    </w:rPr>
  </w:style>
  <w:style w:type="character" w:styleId="1002">
    <w:name w:val="Heading 4 Char"/>
    <w:basedOn w:val="1157"/>
    <w:link w:val="1151"/>
    <w:uiPriority w:val="9"/>
    <w:rPr>
      <w:rFonts w:ascii="Arial" w:hAnsi="Arial" w:eastAsia="Arial" w:cs="Arial"/>
      <w:b/>
      <w:bCs/>
      <w:sz w:val="26"/>
      <w:szCs w:val="26"/>
    </w:rPr>
  </w:style>
  <w:style w:type="character" w:styleId="1003">
    <w:name w:val="Heading 5 Char"/>
    <w:basedOn w:val="1157"/>
    <w:link w:val="1152"/>
    <w:uiPriority w:val="9"/>
    <w:rPr>
      <w:rFonts w:ascii="Arial" w:hAnsi="Arial" w:eastAsia="Arial" w:cs="Arial"/>
      <w:b/>
      <w:bCs/>
      <w:sz w:val="24"/>
      <w:szCs w:val="24"/>
    </w:rPr>
  </w:style>
  <w:style w:type="character" w:styleId="1004">
    <w:name w:val="Heading 6 Char"/>
    <w:basedOn w:val="1157"/>
    <w:link w:val="1153"/>
    <w:uiPriority w:val="9"/>
    <w:rPr>
      <w:rFonts w:ascii="Arial" w:hAnsi="Arial" w:eastAsia="Arial" w:cs="Arial"/>
      <w:b/>
      <w:bCs/>
      <w:sz w:val="22"/>
      <w:szCs w:val="22"/>
    </w:rPr>
  </w:style>
  <w:style w:type="character" w:styleId="1005">
    <w:name w:val="Heading 7 Char"/>
    <w:basedOn w:val="1157"/>
    <w:link w:val="115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1006">
    <w:name w:val="Heading 8 Char"/>
    <w:basedOn w:val="1157"/>
    <w:link w:val="1155"/>
    <w:uiPriority w:val="9"/>
    <w:rPr>
      <w:rFonts w:ascii="Arial" w:hAnsi="Arial" w:eastAsia="Arial" w:cs="Arial"/>
      <w:i/>
      <w:iCs/>
      <w:sz w:val="22"/>
      <w:szCs w:val="22"/>
    </w:rPr>
  </w:style>
  <w:style w:type="character" w:styleId="1007">
    <w:name w:val="Heading 9 Char"/>
    <w:basedOn w:val="1157"/>
    <w:link w:val="1156"/>
    <w:uiPriority w:val="9"/>
    <w:rPr>
      <w:rFonts w:ascii="Arial" w:hAnsi="Arial" w:eastAsia="Arial" w:cs="Arial"/>
      <w:i/>
      <w:iCs/>
      <w:sz w:val="21"/>
      <w:szCs w:val="21"/>
    </w:rPr>
  </w:style>
  <w:style w:type="character" w:styleId="1008">
    <w:name w:val="Title Char"/>
    <w:basedOn w:val="1157"/>
    <w:link w:val="1183"/>
    <w:uiPriority w:val="10"/>
    <w:rPr>
      <w:sz w:val="48"/>
      <w:szCs w:val="48"/>
    </w:rPr>
  </w:style>
  <w:style w:type="character" w:styleId="1009">
    <w:name w:val="Subtitle Char"/>
    <w:basedOn w:val="1157"/>
    <w:link w:val="1185"/>
    <w:uiPriority w:val="11"/>
    <w:rPr>
      <w:sz w:val="24"/>
      <w:szCs w:val="24"/>
    </w:rPr>
  </w:style>
  <w:style w:type="paragraph" w:styleId="1010">
    <w:name w:val="Quote"/>
    <w:basedOn w:val="1147"/>
    <w:next w:val="1147"/>
    <w:link w:val="1011"/>
    <w:uiPriority w:val="29"/>
    <w:qFormat/>
    <w:pPr>
      <w:ind w:left="720" w:right="720"/>
    </w:pPr>
    <w:rPr>
      <w:i/>
    </w:rPr>
  </w:style>
  <w:style w:type="character" w:styleId="1011">
    <w:name w:val="Quote Char"/>
    <w:link w:val="1010"/>
    <w:uiPriority w:val="29"/>
    <w:rPr>
      <w:i/>
    </w:rPr>
  </w:style>
  <w:style w:type="paragraph" w:styleId="1012">
    <w:name w:val="Intense Quote"/>
    <w:basedOn w:val="1147"/>
    <w:next w:val="1147"/>
    <w:link w:val="1013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1013">
    <w:name w:val="Intense Quote Char"/>
    <w:link w:val="1012"/>
    <w:uiPriority w:val="30"/>
    <w:rPr>
      <w:i/>
    </w:rPr>
  </w:style>
  <w:style w:type="character" w:styleId="1014">
    <w:name w:val="Header Char"/>
    <w:basedOn w:val="1157"/>
    <w:link w:val="1198"/>
    <w:uiPriority w:val="99"/>
  </w:style>
  <w:style w:type="character" w:styleId="1015">
    <w:name w:val="Footer Char"/>
    <w:basedOn w:val="1157"/>
    <w:link w:val="1205"/>
    <w:uiPriority w:val="99"/>
  </w:style>
  <w:style w:type="character" w:styleId="1016">
    <w:name w:val="Caption Char"/>
    <w:basedOn w:val="1157"/>
    <w:link w:val="1337"/>
    <w:uiPriority w:val="35"/>
    <w:rPr>
      <w:b/>
      <w:bCs/>
      <w:color w:val="4f81bd" w:themeColor="accent1"/>
      <w:sz w:val="18"/>
      <w:szCs w:val="18"/>
    </w:rPr>
  </w:style>
  <w:style w:type="table" w:styleId="1017">
    <w:name w:val="Table Grid Light"/>
    <w:basedOn w:val="115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018">
    <w:name w:val="Plain Table 1"/>
    <w:basedOn w:val="115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1019">
    <w:name w:val="Plain Table 2"/>
    <w:basedOn w:val="1158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1020">
    <w:name w:val="Plain Table 3"/>
    <w:basedOn w:val="115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1021">
    <w:name w:val="Plain Table 4"/>
    <w:basedOn w:val="115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22">
    <w:name w:val="Plain Table 5"/>
    <w:basedOn w:val="115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1023">
    <w:name w:val="Grid Table 1 Light"/>
    <w:basedOn w:val="11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24">
    <w:name w:val="Grid Table 1 Light - Accent 1"/>
    <w:basedOn w:val="11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25">
    <w:name w:val="Grid Table 1 Light - Accent 2"/>
    <w:basedOn w:val="11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26">
    <w:name w:val="Grid Table 1 Light - Accent 3"/>
    <w:basedOn w:val="11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27">
    <w:name w:val="Grid Table 1 Light - Accent 4"/>
    <w:basedOn w:val="11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28">
    <w:name w:val="Grid Table 1 Light - Accent 5"/>
    <w:basedOn w:val="11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29">
    <w:name w:val="Grid Table 1 Light - Accent 6"/>
    <w:basedOn w:val="11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30">
    <w:name w:val="Grid Table 2"/>
    <w:basedOn w:val="11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31">
    <w:name w:val="Grid Table 2 - Accent 1"/>
    <w:basedOn w:val="11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32">
    <w:name w:val="Grid Table 2 - Accent 2"/>
    <w:basedOn w:val="11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33">
    <w:name w:val="Grid Table 2 - Accent 3"/>
    <w:basedOn w:val="11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34">
    <w:name w:val="Grid Table 2 - Accent 4"/>
    <w:basedOn w:val="11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35">
    <w:name w:val="Grid Table 2 - Accent 5"/>
    <w:basedOn w:val="11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36">
    <w:name w:val="Grid Table 2 - Accent 6"/>
    <w:basedOn w:val="11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37">
    <w:name w:val="Grid Table 3"/>
    <w:basedOn w:val="11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38">
    <w:name w:val="Grid Table 3 - Accent 1"/>
    <w:basedOn w:val="11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39">
    <w:name w:val="Grid Table 3 - Accent 2"/>
    <w:basedOn w:val="11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0">
    <w:name w:val="Grid Table 3 - Accent 3"/>
    <w:basedOn w:val="11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1">
    <w:name w:val="Grid Table 3 - Accent 4"/>
    <w:basedOn w:val="11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2">
    <w:name w:val="Grid Table 3 - Accent 5"/>
    <w:basedOn w:val="11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3">
    <w:name w:val="Grid Table 3 - Accent 6"/>
    <w:basedOn w:val="11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4">
    <w:name w:val="Grid Table 4"/>
    <w:basedOn w:val="115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1045">
    <w:name w:val="Grid Table 4 - Accent 1"/>
    <w:basedOn w:val="115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1046">
    <w:name w:val="Grid Table 4 - Accent 2"/>
    <w:basedOn w:val="115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1047">
    <w:name w:val="Grid Table 4 - Accent 3"/>
    <w:basedOn w:val="115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1048">
    <w:name w:val="Grid Table 4 - Accent 4"/>
    <w:basedOn w:val="115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1049">
    <w:name w:val="Grid Table 4 - Accent 5"/>
    <w:basedOn w:val="115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1050">
    <w:name w:val="Grid Table 4 - Accent 6"/>
    <w:basedOn w:val="115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1051">
    <w:name w:val="Grid Table 5 Dark"/>
    <w:basedOn w:val="11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1052">
    <w:name w:val="Grid Table 5 Dark- Accent 1"/>
    <w:basedOn w:val="11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1053">
    <w:name w:val="Grid Table 5 Dark - Accent 2"/>
    <w:basedOn w:val="11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1054">
    <w:name w:val="Grid Table 5 Dark - Accent 3"/>
    <w:basedOn w:val="11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1055">
    <w:name w:val="Grid Table 5 Dark- Accent 4"/>
    <w:basedOn w:val="11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1056">
    <w:name w:val="Grid Table 5 Dark - Accent 5"/>
    <w:basedOn w:val="11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1057">
    <w:name w:val="Grid Table 5 Dark - Accent 6"/>
    <w:basedOn w:val="11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1058">
    <w:name w:val="Grid Table 6 Colorful"/>
    <w:basedOn w:val="11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1059">
    <w:name w:val="Grid Table 6 Colorful - Accent 1"/>
    <w:basedOn w:val="11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1060">
    <w:name w:val="Grid Table 6 Colorful - Accent 2"/>
    <w:basedOn w:val="11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1061">
    <w:name w:val="Grid Table 6 Colorful - Accent 3"/>
    <w:basedOn w:val="11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1062">
    <w:name w:val="Grid Table 6 Colorful - Accent 4"/>
    <w:basedOn w:val="11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1063">
    <w:name w:val="Grid Table 6 Colorful - Accent 5"/>
    <w:basedOn w:val="11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1064">
    <w:name w:val="Grid Table 6 Colorful - Accent 6"/>
    <w:basedOn w:val="11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1065">
    <w:name w:val="Grid Table 7 Colorful"/>
    <w:basedOn w:val="11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6">
    <w:name w:val="Grid Table 7 Colorful - Accent 1"/>
    <w:basedOn w:val="11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7">
    <w:name w:val="Grid Table 7 Colorful - Accent 2"/>
    <w:basedOn w:val="11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8">
    <w:name w:val="Grid Table 7 Colorful - Accent 3"/>
    <w:basedOn w:val="11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9">
    <w:name w:val="Grid Table 7 Colorful - Accent 4"/>
    <w:basedOn w:val="11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0">
    <w:name w:val="Grid Table 7 Colorful - Accent 5"/>
    <w:basedOn w:val="11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1">
    <w:name w:val="Grid Table 7 Colorful - Accent 6"/>
    <w:basedOn w:val="11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2">
    <w:name w:val="List Table 1 Light"/>
    <w:basedOn w:val="115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3">
    <w:name w:val="List Table 1 Light - Accent 1"/>
    <w:basedOn w:val="115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4">
    <w:name w:val="List Table 1 Light - Accent 2"/>
    <w:basedOn w:val="115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5">
    <w:name w:val="List Table 1 Light - Accent 3"/>
    <w:basedOn w:val="115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6">
    <w:name w:val="List Table 1 Light - Accent 4"/>
    <w:basedOn w:val="115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7">
    <w:name w:val="List Table 1 Light - Accent 5"/>
    <w:basedOn w:val="115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8">
    <w:name w:val="List Table 1 Light - Accent 6"/>
    <w:basedOn w:val="115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9">
    <w:name w:val="List Table 2"/>
    <w:basedOn w:val="11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080">
    <w:name w:val="List Table 2 - Accent 1"/>
    <w:basedOn w:val="11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081">
    <w:name w:val="List Table 2 - Accent 2"/>
    <w:basedOn w:val="11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082">
    <w:name w:val="List Table 2 - Accent 3"/>
    <w:basedOn w:val="11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083">
    <w:name w:val="List Table 2 - Accent 4"/>
    <w:basedOn w:val="11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084">
    <w:name w:val="List Table 2 - Accent 5"/>
    <w:basedOn w:val="11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085">
    <w:name w:val="List Table 2 - Accent 6"/>
    <w:basedOn w:val="11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086">
    <w:name w:val="List Table 3"/>
    <w:basedOn w:val="11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87">
    <w:name w:val="List Table 3 - Accent 1"/>
    <w:basedOn w:val="11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88">
    <w:name w:val="List Table 3 - Accent 2"/>
    <w:basedOn w:val="11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89">
    <w:name w:val="List Table 3 - Accent 3"/>
    <w:basedOn w:val="11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90">
    <w:name w:val="List Table 3 - Accent 4"/>
    <w:basedOn w:val="11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91">
    <w:name w:val="List Table 3 - Accent 5"/>
    <w:basedOn w:val="11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92">
    <w:name w:val="List Table 3 - Accent 6"/>
    <w:basedOn w:val="11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93">
    <w:name w:val="List Table 4"/>
    <w:basedOn w:val="11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94">
    <w:name w:val="List Table 4 - Accent 1"/>
    <w:basedOn w:val="11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95">
    <w:name w:val="List Table 4 - Accent 2"/>
    <w:basedOn w:val="11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96">
    <w:name w:val="List Table 4 - Accent 3"/>
    <w:basedOn w:val="11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97">
    <w:name w:val="List Table 4 - Accent 4"/>
    <w:basedOn w:val="11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98">
    <w:name w:val="List Table 4 - Accent 5"/>
    <w:basedOn w:val="11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99">
    <w:name w:val="List Table 4 - Accent 6"/>
    <w:basedOn w:val="11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00">
    <w:name w:val="List Table 5 Dark"/>
    <w:basedOn w:val="11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101">
    <w:name w:val="List Table 5 Dark - Accent 1"/>
    <w:basedOn w:val="11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102">
    <w:name w:val="List Table 5 Dark - Accent 2"/>
    <w:basedOn w:val="11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103">
    <w:name w:val="List Table 5 Dark - Accent 3"/>
    <w:basedOn w:val="11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104">
    <w:name w:val="List Table 5 Dark - Accent 4"/>
    <w:basedOn w:val="11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105">
    <w:name w:val="List Table 5 Dark - Accent 5"/>
    <w:basedOn w:val="11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106">
    <w:name w:val="List Table 5 Dark - Accent 6"/>
    <w:basedOn w:val="11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107">
    <w:name w:val="List Table 6 Colorful"/>
    <w:basedOn w:val="11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108">
    <w:name w:val="List Table 6 Colorful - Accent 1"/>
    <w:basedOn w:val="11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109">
    <w:name w:val="List Table 6 Colorful - Accent 2"/>
    <w:basedOn w:val="11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110">
    <w:name w:val="List Table 6 Colorful - Accent 3"/>
    <w:basedOn w:val="11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111">
    <w:name w:val="List Table 6 Colorful - Accent 4"/>
    <w:basedOn w:val="11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112">
    <w:name w:val="List Table 6 Colorful - Accent 5"/>
    <w:basedOn w:val="11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113">
    <w:name w:val="List Table 6 Colorful - Accent 6"/>
    <w:basedOn w:val="11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114">
    <w:name w:val="List Table 7 Colorful"/>
    <w:basedOn w:val="11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115">
    <w:name w:val="List Table 7 Colorful - Accent 1"/>
    <w:basedOn w:val="11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1116">
    <w:name w:val="List Table 7 Colorful - Accent 2"/>
    <w:basedOn w:val="11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117">
    <w:name w:val="List Table 7 Colorful - Accent 3"/>
    <w:basedOn w:val="11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118">
    <w:name w:val="List Table 7 Colorful - Accent 4"/>
    <w:basedOn w:val="11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119">
    <w:name w:val="List Table 7 Colorful - Accent 5"/>
    <w:basedOn w:val="11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1120">
    <w:name w:val="List Table 7 Colorful - Accent 6"/>
    <w:basedOn w:val="11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121">
    <w:name w:val="Lined - Accent"/>
    <w:basedOn w:val="115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122">
    <w:name w:val="Lined - Accent 1"/>
    <w:basedOn w:val="115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123">
    <w:name w:val="Lined - Accent 2"/>
    <w:basedOn w:val="115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124">
    <w:name w:val="Lined - Accent 3"/>
    <w:basedOn w:val="115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125">
    <w:name w:val="Lined - Accent 4"/>
    <w:basedOn w:val="115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126">
    <w:name w:val="Lined - Accent 5"/>
    <w:basedOn w:val="115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127">
    <w:name w:val="Lined - Accent 6"/>
    <w:basedOn w:val="115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128">
    <w:name w:val="Bordered &amp; Lined - Accent"/>
    <w:basedOn w:val="115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129">
    <w:name w:val="Bordered &amp; Lined - Accent 1"/>
    <w:basedOn w:val="115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130">
    <w:name w:val="Bordered &amp; Lined - Accent 2"/>
    <w:basedOn w:val="115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131">
    <w:name w:val="Bordered &amp; Lined - Accent 3"/>
    <w:basedOn w:val="115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132">
    <w:name w:val="Bordered &amp; Lined - Accent 4"/>
    <w:basedOn w:val="115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133">
    <w:name w:val="Bordered &amp; Lined - Accent 5"/>
    <w:basedOn w:val="115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134">
    <w:name w:val="Bordered &amp; Lined - Accent 6"/>
    <w:basedOn w:val="115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135">
    <w:name w:val="Bordered"/>
    <w:basedOn w:val="11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136">
    <w:name w:val="Bordered - Accent 1"/>
    <w:basedOn w:val="11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137">
    <w:name w:val="Bordered - Accent 2"/>
    <w:basedOn w:val="11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138">
    <w:name w:val="Bordered - Accent 3"/>
    <w:basedOn w:val="11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139">
    <w:name w:val="Bordered - Accent 4"/>
    <w:basedOn w:val="11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140">
    <w:name w:val="Bordered - Accent 5"/>
    <w:basedOn w:val="11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141">
    <w:name w:val="Bordered - Accent 6"/>
    <w:basedOn w:val="11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142">
    <w:name w:val="Footnote Text Char"/>
    <w:link w:val="1202"/>
    <w:uiPriority w:val="99"/>
    <w:rPr>
      <w:sz w:val="18"/>
    </w:rPr>
  </w:style>
  <w:style w:type="character" w:styleId="1143">
    <w:name w:val="Endnote Text Char"/>
    <w:link w:val="1307"/>
    <w:uiPriority w:val="99"/>
    <w:rPr>
      <w:sz w:val="20"/>
    </w:rPr>
  </w:style>
  <w:style w:type="character" w:styleId="1144">
    <w:name w:val="endnote reference"/>
    <w:basedOn w:val="1157"/>
    <w:uiPriority w:val="99"/>
    <w:semiHidden/>
    <w:unhideWhenUsed/>
    <w:rPr>
      <w:vertAlign w:val="superscript"/>
    </w:rPr>
  </w:style>
  <w:style w:type="paragraph" w:styleId="1145">
    <w:name w:val="TOC Heading"/>
    <w:uiPriority w:val="39"/>
    <w:unhideWhenUsed/>
  </w:style>
  <w:style w:type="paragraph" w:styleId="1146">
    <w:name w:val="table of figures"/>
    <w:basedOn w:val="1147"/>
    <w:next w:val="1147"/>
    <w:uiPriority w:val="99"/>
    <w:unhideWhenUsed/>
    <w:pPr>
      <w:spacing w:after="0" w:afterAutospacing="0"/>
    </w:pPr>
  </w:style>
  <w:style w:type="paragraph" w:styleId="1147" w:default="1">
    <w:name w:val="Normal"/>
    <w:qFormat/>
    <w:pPr>
      <w:jc w:val="both"/>
      <w:spacing w:after="6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48">
    <w:name w:val="Heading 1"/>
    <w:basedOn w:val="1147"/>
    <w:next w:val="1147"/>
    <w:link w:val="1160"/>
    <w:qFormat/>
    <w:pPr>
      <w:ind w:left="432" w:hanging="432"/>
      <w:jc w:val="center"/>
      <w:keepNext/>
      <w:spacing w:before="240"/>
      <w:tabs>
        <w:tab w:val="num" w:pos="432" w:leader="none"/>
      </w:tabs>
      <w:outlineLvl w:val="0"/>
    </w:pPr>
    <w:rPr>
      <w:b/>
      <w:bCs/>
      <w:sz w:val="36"/>
      <w:szCs w:val="36"/>
    </w:rPr>
  </w:style>
  <w:style w:type="paragraph" w:styleId="1149">
    <w:name w:val="Heading 2"/>
    <w:basedOn w:val="1147"/>
    <w:next w:val="1147"/>
    <w:link w:val="1161"/>
    <w:qFormat/>
    <w:pPr>
      <w:ind w:left="576" w:hanging="576"/>
      <w:jc w:val="center"/>
      <w:keepNext/>
      <w:tabs>
        <w:tab w:val="num" w:pos="576" w:leader="none"/>
      </w:tabs>
      <w:outlineLvl w:val="1"/>
    </w:pPr>
    <w:rPr>
      <w:b/>
      <w:bCs/>
      <w:sz w:val="30"/>
      <w:szCs w:val="30"/>
    </w:rPr>
  </w:style>
  <w:style w:type="paragraph" w:styleId="1150">
    <w:name w:val="Heading 3"/>
    <w:basedOn w:val="1147"/>
    <w:next w:val="1147"/>
    <w:link w:val="1162"/>
    <w:uiPriority w:val="99"/>
    <w:qFormat/>
    <w:pPr>
      <w:ind w:left="142"/>
      <w:keepNext/>
      <w:spacing w:before="240"/>
      <w:tabs>
        <w:tab w:val="num" w:pos="312" w:leader="none"/>
      </w:tabs>
      <w:outlineLvl w:val="2"/>
    </w:pPr>
    <w:rPr>
      <w:rFonts w:ascii="Arial" w:hAnsi="Arial" w:cs="Arial"/>
      <w:b/>
      <w:bCs/>
    </w:rPr>
  </w:style>
  <w:style w:type="paragraph" w:styleId="1151">
    <w:name w:val="Heading 4"/>
    <w:basedOn w:val="1147"/>
    <w:next w:val="1147"/>
    <w:link w:val="1163"/>
    <w:uiPriority w:val="99"/>
    <w:qFormat/>
    <w:pPr>
      <w:ind w:left="1148" w:hanging="864"/>
      <w:keepNext/>
      <w:spacing w:before="240"/>
      <w:tabs>
        <w:tab w:val="num" w:pos="1148" w:leader="none"/>
      </w:tabs>
      <w:outlineLvl w:val="3"/>
    </w:pPr>
    <w:rPr>
      <w:rFonts w:ascii="Arial" w:hAnsi="Arial" w:cs="Arial"/>
    </w:rPr>
  </w:style>
  <w:style w:type="paragraph" w:styleId="1152">
    <w:name w:val="Heading 5"/>
    <w:basedOn w:val="1147"/>
    <w:next w:val="1147"/>
    <w:link w:val="1164"/>
    <w:uiPriority w:val="99"/>
    <w:qFormat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1153">
    <w:name w:val="Heading 6"/>
    <w:basedOn w:val="1147"/>
    <w:next w:val="1147"/>
    <w:link w:val="1165"/>
    <w:uiPriority w:val="99"/>
    <w:qFormat/>
    <w:pPr>
      <w:ind w:left="1152" w:hanging="1152"/>
      <w:spacing w:before="240"/>
      <w:tabs>
        <w:tab w:val="num" w:pos="1152" w:leader="none"/>
      </w:tabs>
      <w:outlineLvl w:val="5"/>
    </w:pPr>
    <w:rPr>
      <w:i/>
      <w:iCs/>
      <w:sz w:val="20"/>
      <w:szCs w:val="20"/>
    </w:rPr>
  </w:style>
  <w:style w:type="paragraph" w:styleId="1154">
    <w:name w:val="Heading 7"/>
    <w:basedOn w:val="1147"/>
    <w:next w:val="1147"/>
    <w:link w:val="1166"/>
    <w:uiPriority w:val="99"/>
    <w:qFormat/>
    <w:pPr>
      <w:ind w:left="1296" w:hanging="1296"/>
      <w:spacing w:before="240"/>
      <w:tabs>
        <w:tab w:val="num" w:pos="1296" w:leader="none"/>
      </w:tabs>
      <w:outlineLvl w:val="6"/>
    </w:pPr>
    <w:rPr>
      <w:rFonts w:ascii="Arial" w:hAnsi="Arial" w:cs="Arial"/>
      <w:sz w:val="20"/>
      <w:szCs w:val="20"/>
    </w:rPr>
  </w:style>
  <w:style w:type="paragraph" w:styleId="1155">
    <w:name w:val="Heading 8"/>
    <w:basedOn w:val="1147"/>
    <w:next w:val="1147"/>
    <w:link w:val="1167"/>
    <w:uiPriority w:val="99"/>
    <w:qFormat/>
    <w:pPr>
      <w:ind w:left="1440" w:hanging="1440"/>
      <w:spacing w:before="240"/>
      <w:tabs>
        <w:tab w:val="num" w:pos="1440" w:leader="none"/>
      </w:tabs>
      <w:outlineLvl w:val="7"/>
    </w:pPr>
    <w:rPr>
      <w:rFonts w:ascii="Arial" w:hAnsi="Arial" w:cs="Arial"/>
      <w:i/>
      <w:iCs/>
      <w:sz w:val="20"/>
      <w:szCs w:val="20"/>
    </w:rPr>
  </w:style>
  <w:style w:type="paragraph" w:styleId="1156">
    <w:name w:val="Heading 9"/>
    <w:basedOn w:val="1147"/>
    <w:next w:val="1147"/>
    <w:link w:val="1168"/>
    <w:uiPriority w:val="99"/>
    <w:qFormat/>
    <w:pPr>
      <w:ind w:left="1584" w:hanging="1584"/>
      <w:spacing w:before="240"/>
      <w:tabs>
        <w:tab w:val="num" w:pos="1584" w:leader="none"/>
      </w:tabs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styleId="1157" w:default="1">
    <w:name w:val="Default Paragraph Font"/>
    <w:uiPriority w:val="1"/>
    <w:semiHidden/>
    <w:unhideWhenUsed/>
  </w:style>
  <w:style w:type="table" w:styleId="1158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1159" w:default="1">
    <w:name w:val="No List"/>
    <w:uiPriority w:val="99"/>
    <w:semiHidden/>
    <w:unhideWhenUsed/>
  </w:style>
  <w:style w:type="character" w:styleId="1160" w:customStyle="1">
    <w:name w:val="Заголовок 1 Знак1"/>
    <w:link w:val="1148"/>
    <w:rPr>
      <w:rFonts w:ascii="Times New Roman" w:hAnsi="Times New Roman" w:eastAsia="Times New Roman" w:cs="Times New Roman"/>
      <w:b/>
      <w:bCs/>
      <w:sz w:val="36"/>
      <w:szCs w:val="36"/>
      <w:lang w:eastAsia="ru-RU"/>
    </w:rPr>
  </w:style>
  <w:style w:type="character" w:styleId="1161" w:customStyle="1">
    <w:name w:val="Заголовок 2 Знак"/>
    <w:basedOn w:val="1157"/>
    <w:link w:val="1149"/>
    <w:rPr>
      <w:rFonts w:ascii="Times New Roman" w:hAnsi="Times New Roman" w:eastAsia="Times New Roman" w:cs="Times New Roman"/>
      <w:b/>
      <w:bCs/>
      <w:sz w:val="30"/>
      <w:szCs w:val="30"/>
      <w:lang w:eastAsia="ru-RU"/>
    </w:rPr>
  </w:style>
  <w:style w:type="character" w:styleId="1162" w:customStyle="1">
    <w:name w:val="Заголовок 3 Знак"/>
    <w:basedOn w:val="1157"/>
    <w:link w:val="1150"/>
    <w:uiPriority w:val="99"/>
    <w:rPr>
      <w:rFonts w:ascii="Arial" w:hAnsi="Arial" w:eastAsia="Times New Roman" w:cs="Arial"/>
      <w:b/>
      <w:bCs/>
      <w:sz w:val="24"/>
      <w:szCs w:val="24"/>
      <w:lang w:eastAsia="ru-RU"/>
    </w:rPr>
  </w:style>
  <w:style w:type="character" w:styleId="1163" w:customStyle="1">
    <w:name w:val="Заголовок 4 Знак"/>
    <w:basedOn w:val="1157"/>
    <w:link w:val="1151"/>
    <w:uiPriority w:val="99"/>
    <w:rPr>
      <w:rFonts w:ascii="Arial" w:hAnsi="Arial" w:eastAsia="Times New Roman" w:cs="Arial"/>
      <w:sz w:val="24"/>
      <w:szCs w:val="24"/>
      <w:lang w:eastAsia="ru-RU"/>
    </w:rPr>
  </w:style>
  <w:style w:type="character" w:styleId="1164" w:customStyle="1">
    <w:name w:val="Заголовок 5 Знак"/>
    <w:basedOn w:val="1157"/>
    <w:link w:val="1152"/>
    <w:uiPriority w:val="99"/>
    <w:rPr>
      <w:rFonts w:ascii="Calibri" w:hAnsi="Calibri" w:eastAsia="Times New Roman" w:cs="Calibri"/>
      <w:b/>
      <w:bCs/>
      <w:i/>
      <w:iCs/>
      <w:sz w:val="26"/>
      <w:szCs w:val="26"/>
      <w:lang w:eastAsia="ru-RU"/>
    </w:rPr>
  </w:style>
  <w:style w:type="character" w:styleId="1165" w:customStyle="1">
    <w:name w:val="Заголовок 6 Знак"/>
    <w:basedOn w:val="1157"/>
    <w:link w:val="1153"/>
    <w:uiPriority w:val="99"/>
    <w:rPr>
      <w:rFonts w:ascii="Times New Roman" w:hAnsi="Times New Roman" w:eastAsia="Times New Roman" w:cs="Times New Roman"/>
      <w:i/>
      <w:iCs/>
      <w:sz w:val="20"/>
      <w:szCs w:val="20"/>
      <w:lang w:eastAsia="ru-RU"/>
    </w:rPr>
  </w:style>
  <w:style w:type="character" w:styleId="1166" w:customStyle="1">
    <w:name w:val="Заголовок 7 Знак"/>
    <w:basedOn w:val="1157"/>
    <w:link w:val="1154"/>
    <w:uiPriority w:val="99"/>
    <w:rPr>
      <w:rFonts w:ascii="Arial" w:hAnsi="Arial" w:eastAsia="Times New Roman" w:cs="Arial"/>
      <w:sz w:val="20"/>
      <w:szCs w:val="20"/>
      <w:lang w:eastAsia="ru-RU"/>
    </w:rPr>
  </w:style>
  <w:style w:type="character" w:styleId="1167" w:customStyle="1">
    <w:name w:val="Заголовок 8 Знак"/>
    <w:basedOn w:val="1157"/>
    <w:link w:val="1155"/>
    <w:uiPriority w:val="99"/>
    <w:rPr>
      <w:rFonts w:ascii="Arial" w:hAnsi="Arial" w:eastAsia="Times New Roman" w:cs="Arial"/>
      <w:i/>
      <w:iCs/>
      <w:sz w:val="20"/>
      <w:szCs w:val="20"/>
      <w:lang w:eastAsia="ru-RU"/>
    </w:rPr>
  </w:style>
  <w:style w:type="character" w:styleId="1168" w:customStyle="1">
    <w:name w:val="Заголовок 9 Знак"/>
    <w:basedOn w:val="1157"/>
    <w:link w:val="1156"/>
    <w:uiPriority w:val="99"/>
    <w:rPr>
      <w:rFonts w:ascii="Arial" w:hAnsi="Arial" w:eastAsia="Times New Roman" w:cs="Arial"/>
      <w:b/>
      <w:bCs/>
      <w:i/>
      <w:iCs/>
      <w:sz w:val="18"/>
      <w:szCs w:val="18"/>
      <w:lang w:eastAsia="ru-RU"/>
    </w:rPr>
  </w:style>
  <w:style w:type="character" w:styleId="1169" w:customStyle="1">
    <w:name w:val="Заголовок 1 Знак"/>
    <w:basedOn w:val="1157"/>
    <w:rPr>
      <w:rFonts w:asciiTheme="majorHAnsi" w:hAnsiTheme="majorHAnsi" w:eastAsiaTheme="majorEastAsia" w:cstheme="majorBidi"/>
      <w:color w:val="2e74b5" w:themeColor="accent1" w:themeShade="BF"/>
      <w:sz w:val="32"/>
      <w:szCs w:val="32"/>
      <w:lang w:eastAsia="ru-RU"/>
    </w:rPr>
  </w:style>
  <w:style w:type="paragraph" w:styleId="1170" w:customStyle="1">
    <w:name w:val="Основной текст с отступом1"/>
    <w:basedOn w:val="1147"/>
    <w:uiPriority w:val="99"/>
    <w:pPr>
      <w:ind w:firstLine="851"/>
      <w:spacing w:before="60" w:after="0"/>
    </w:pPr>
  </w:style>
  <w:style w:type="paragraph" w:styleId="1171">
    <w:name w:val="Body Text Indent"/>
    <w:basedOn w:val="1147"/>
    <w:link w:val="1172"/>
    <w:uiPriority w:val="99"/>
    <w:pPr>
      <w:numPr>
        <w:ilvl w:val="1"/>
        <w:numId w:val="2"/>
      </w:numPr>
    </w:pPr>
  </w:style>
  <w:style w:type="character" w:styleId="1172" w:customStyle="1">
    <w:name w:val="Основной текст с отступом Знак"/>
    <w:basedOn w:val="1157"/>
    <w:link w:val="1171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73">
    <w:name w:val="List Bullet"/>
    <w:basedOn w:val="1147"/>
    <w:uiPriority w:val="99"/>
    <w:pPr>
      <w:widowControl w:val="off"/>
    </w:pPr>
  </w:style>
  <w:style w:type="paragraph" w:styleId="1174">
    <w:name w:val="List Bullet 2"/>
    <w:basedOn w:val="1147"/>
    <w:uiPriority w:val="99"/>
    <w:pPr>
      <w:ind w:left="643" w:hanging="360"/>
      <w:tabs>
        <w:tab w:val="num" w:pos="643" w:leader="none"/>
      </w:tabs>
    </w:pPr>
  </w:style>
  <w:style w:type="paragraph" w:styleId="1175">
    <w:name w:val="List Bullet 3"/>
    <w:basedOn w:val="1147"/>
    <w:uiPriority w:val="99"/>
    <w:pPr>
      <w:ind w:left="926" w:hanging="360"/>
      <w:tabs>
        <w:tab w:val="num" w:pos="643" w:leader="none"/>
        <w:tab w:val="num" w:pos="926" w:leader="none"/>
      </w:tabs>
    </w:pPr>
  </w:style>
  <w:style w:type="paragraph" w:styleId="1176">
    <w:name w:val="List Bullet 4"/>
    <w:basedOn w:val="1147"/>
    <w:uiPriority w:val="99"/>
    <w:pPr>
      <w:ind w:left="1209" w:hanging="360"/>
      <w:tabs>
        <w:tab w:val="num" w:pos="926" w:leader="none"/>
        <w:tab w:val="num" w:pos="1209" w:leader="none"/>
      </w:tabs>
    </w:pPr>
  </w:style>
  <w:style w:type="paragraph" w:styleId="1177">
    <w:name w:val="List Bullet 5"/>
    <w:basedOn w:val="1147"/>
    <w:uiPriority w:val="99"/>
    <w:pPr>
      <w:ind w:left="1492" w:hanging="360"/>
      <w:tabs>
        <w:tab w:val="num" w:pos="1209" w:leader="none"/>
        <w:tab w:val="num" w:pos="1492" w:leader="none"/>
      </w:tabs>
    </w:pPr>
  </w:style>
  <w:style w:type="paragraph" w:styleId="1178">
    <w:name w:val="List Number"/>
    <w:basedOn w:val="1147"/>
    <w:uiPriority w:val="99"/>
    <w:pPr>
      <w:ind w:left="360" w:hanging="360"/>
      <w:tabs>
        <w:tab w:val="num" w:pos="1492" w:leader="none"/>
      </w:tabs>
    </w:pPr>
  </w:style>
  <w:style w:type="paragraph" w:styleId="1179">
    <w:name w:val="List Number 2"/>
    <w:basedOn w:val="1147"/>
    <w:uiPriority w:val="99"/>
    <w:pPr>
      <w:ind w:left="643" w:hanging="360"/>
      <w:tabs>
        <w:tab w:val="num" w:pos="643" w:leader="none"/>
      </w:tabs>
    </w:pPr>
  </w:style>
  <w:style w:type="paragraph" w:styleId="1180">
    <w:name w:val="List Number 3"/>
    <w:basedOn w:val="1147"/>
    <w:uiPriority w:val="99"/>
    <w:pPr>
      <w:ind w:left="926" w:hanging="360"/>
      <w:tabs>
        <w:tab w:val="num" w:pos="643" w:leader="none"/>
        <w:tab w:val="num" w:pos="926" w:leader="none"/>
      </w:tabs>
    </w:pPr>
  </w:style>
  <w:style w:type="paragraph" w:styleId="1181">
    <w:name w:val="List Number 4"/>
    <w:basedOn w:val="1147"/>
    <w:uiPriority w:val="99"/>
    <w:pPr>
      <w:ind w:left="1209" w:hanging="360"/>
      <w:tabs>
        <w:tab w:val="num" w:pos="926" w:leader="none"/>
        <w:tab w:val="num" w:pos="1209" w:leader="none"/>
      </w:tabs>
    </w:pPr>
  </w:style>
  <w:style w:type="paragraph" w:styleId="1182">
    <w:name w:val="List Number 5"/>
    <w:basedOn w:val="1147"/>
    <w:uiPriority w:val="99"/>
    <w:pPr>
      <w:ind w:left="1492" w:hanging="360"/>
      <w:tabs>
        <w:tab w:val="num" w:pos="1209" w:leader="none"/>
        <w:tab w:val="num" w:pos="1492" w:leader="none"/>
      </w:tabs>
    </w:pPr>
  </w:style>
  <w:style w:type="paragraph" w:styleId="1183">
    <w:name w:val="Title"/>
    <w:basedOn w:val="1147"/>
    <w:link w:val="1184"/>
    <w:uiPriority w:val="99"/>
    <w:qFormat/>
    <w:pPr>
      <w:jc w:val="center"/>
      <w:spacing w:before="240"/>
      <w:outlineLvl w:val="0"/>
    </w:pPr>
    <w:rPr>
      <w:rFonts w:ascii="Cambria" w:hAnsi="Cambria" w:cs="Cambria"/>
      <w:b/>
      <w:bCs/>
      <w:sz w:val="32"/>
      <w:szCs w:val="32"/>
    </w:rPr>
  </w:style>
  <w:style w:type="character" w:styleId="1184" w:customStyle="1">
    <w:name w:val="Заголовок Знак"/>
    <w:basedOn w:val="1157"/>
    <w:link w:val="1183"/>
    <w:uiPriority w:val="99"/>
    <w:rPr>
      <w:rFonts w:ascii="Cambria" w:hAnsi="Cambria" w:eastAsia="Times New Roman" w:cs="Cambria"/>
      <w:b/>
      <w:bCs/>
      <w:sz w:val="32"/>
      <w:szCs w:val="32"/>
      <w:lang w:eastAsia="ru-RU"/>
    </w:rPr>
  </w:style>
  <w:style w:type="paragraph" w:styleId="1185">
    <w:name w:val="Subtitle"/>
    <w:basedOn w:val="1147"/>
    <w:link w:val="1186"/>
    <w:uiPriority w:val="99"/>
    <w:qFormat/>
    <w:pPr>
      <w:jc w:val="center"/>
      <w:outlineLvl w:val="1"/>
    </w:pPr>
    <w:rPr>
      <w:rFonts w:ascii="Cambria" w:hAnsi="Cambria" w:cs="Cambria"/>
    </w:rPr>
  </w:style>
  <w:style w:type="character" w:styleId="1186" w:customStyle="1">
    <w:name w:val="Подзаголовок Знак"/>
    <w:basedOn w:val="1157"/>
    <w:link w:val="1185"/>
    <w:uiPriority w:val="99"/>
    <w:rPr>
      <w:rFonts w:ascii="Cambria" w:hAnsi="Cambria" w:eastAsia="Times New Roman" w:cs="Cambria"/>
      <w:sz w:val="24"/>
      <w:szCs w:val="24"/>
      <w:lang w:eastAsia="ru-RU"/>
    </w:rPr>
  </w:style>
  <w:style w:type="paragraph" w:styleId="1187">
    <w:name w:val="toc 3"/>
    <w:basedOn w:val="1147"/>
    <w:next w:val="1147"/>
    <w:uiPriority w:val="39"/>
    <w:pPr>
      <w:ind w:left="480"/>
      <w:jc w:val="left"/>
      <w:spacing w:after="0"/>
    </w:pPr>
    <w:rPr>
      <w:i/>
      <w:iCs/>
      <w:sz w:val="20"/>
      <w:szCs w:val="20"/>
    </w:rPr>
  </w:style>
  <w:style w:type="paragraph" w:styleId="1188">
    <w:name w:val="toc 1"/>
    <w:basedOn w:val="1147"/>
    <w:next w:val="1147"/>
    <w:uiPriority w:val="39"/>
    <w:pPr>
      <w:jc w:val="left"/>
      <w:spacing w:before="120" w:after="120"/>
    </w:pPr>
    <w:rPr>
      <w:b/>
      <w:bCs/>
      <w:caps/>
      <w:sz w:val="20"/>
      <w:szCs w:val="20"/>
    </w:rPr>
  </w:style>
  <w:style w:type="paragraph" w:styleId="1189">
    <w:name w:val="toc 2"/>
    <w:basedOn w:val="1147"/>
    <w:next w:val="1147"/>
    <w:uiPriority w:val="39"/>
    <w:pPr>
      <w:ind w:left="240"/>
      <w:jc w:val="left"/>
      <w:spacing w:after="0"/>
    </w:pPr>
    <w:rPr>
      <w:smallCaps/>
      <w:sz w:val="20"/>
      <w:szCs w:val="20"/>
    </w:rPr>
  </w:style>
  <w:style w:type="paragraph" w:styleId="1190">
    <w:name w:val="Date"/>
    <w:basedOn w:val="1147"/>
    <w:next w:val="1147"/>
    <w:link w:val="1191"/>
    <w:uiPriority w:val="99"/>
  </w:style>
  <w:style w:type="character" w:styleId="1191" w:customStyle="1">
    <w:name w:val="Дата Знак"/>
    <w:basedOn w:val="1157"/>
    <w:link w:val="1190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92">
    <w:name w:val="Body Text"/>
    <w:basedOn w:val="1147"/>
    <w:link w:val="1193"/>
    <w:uiPriority w:val="99"/>
    <w:pPr>
      <w:spacing w:after="120"/>
    </w:pPr>
  </w:style>
  <w:style w:type="character" w:styleId="1193" w:customStyle="1">
    <w:name w:val="Основной текст Знак"/>
    <w:basedOn w:val="1157"/>
    <w:link w:val="1192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94">
    <w:name w:val="Body Text Indent 2"/>
    <w:basedOn w:val="1147"/>
    <w:link w:val="1195"/>
    <w:uiPriority w:val="99"/>
    <w:pPr>
      <w:ind w:left="283"/>
      <w:spacing w:after="120" w:line="480" w:lineRule="auto"/>
    </w:pPr>
  </w:style>
  <w:style w:type="character" w:styleId="1195" w:customStyle="1">
    <w:name w:val="Основной текст с отступом 2 Знак"/>
    <w:basedOn w:val="1157"/>
    <w:link w:val="1194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96">
    <w:name w:val="Body Text Indent 3"/>
    <w:basedOn w:val="1147"/>
    <w:link w:val="1197"/>
    <w:uiPriority w:val="99"/>
    <w:pPr>
      <w:ind w:left="283"/>
      <w:spacing w:after="120"/>
    </w:pPr>
    <w:rPr>
      <w:sz w:val="16"/>
      <w:szCs w:val="16"/>
    </w:rPr>
  </w:style>
  <w:style w:type="character" w:styleId="1197" w:customStyle="1">
    <w:name w:val="Основной текст с отступом 3 Знак"/>
    <w:basedOn w:val="1157"/>
    <w:link w:val="1196"/>
    <w:uiPriority w:val="99"/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1198">
    <w:name w:val="Header"/>
    <w:basedOn w:val="1147"/>
    <w:link w:val="1199"/>
    <w:uiPriority w:val="99"/>
    <w:pPr>
      <w:spacing w:before="120" w:after="120"/>
      <w:tabs>
        <w:tab w:val="center" w:pos="4153" w:leader="none"/>
        <w:tab w:val="right" w:pos="8306" w:leader="none"/>
      </w:tabs>
    </w:pPr>
  </w:style>
  <w:style w:type="character" w:styleId="1199" w:customStyle="1">
    <w:name w:val="Верхний колонтитул Знак"/>
    <w:basedOn w:val="1157"/>
    <w:link w:val="1198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00">
    <w:name w:val="Block Text"/>
    <w:basedOn w:val="1147"/>
    <w:uiPriority w:val="99"/>
    <w:pPr>
      <w:ind w:left="1440" w:right="1440"/>
      <w:spacing w:after="120"/>
    </w:pPr>
  </w:style>
  <w:style w:type="character" w:styleId="1201">
    <w:name w:val="footnote reference"/>
    <w:uiPriority w:val="99"/>
    <w:rPr>
      <w:rFonts w:ascii="Times New Roman" w:hAnsi="Times New Roman" w:cs="Times New Roman"/>
      <w:vertAlign w:val="superscript"/>
    </w:rPr>
  </w:style>
  <w:style w:type="paragraph" w:styleId="1202">
    <w:name w:val="footnote text"/>
    <w:basedOn w:val="1147"/>
    <w:link w:val="1203"/>
    <w:rPr>
      <w:sz w:val="20"/>
      <w:szCs w:val="20"/>
    </w:rPr>
  </w:style>
  <w:style w:type="character" w:styleId="1203" w:customStyle="1">
    <w:name w:val="Текст сноски Знак"/>
    <w:basedOn w:val="1157"/>
    <w:link w:val="1202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1204">
    <w:name w:val="page number"/>
    <w:uiPriority w:val="99"/>
    <w:rPr>
      <w:rFonts w:ascii="Times New Roman" w:hAnsi="Times New Roman" w:cs="Times New Roman"/>
    </w:rPr>
  </w:style>
  <w:style w:type="paragraph" w:styleId="1205">
    <w:name w:val="Footer"/>
    <w:basedOn w:val="1147"/>
    <w:link w:val="1206"/>
    <w:uiPriority w:val="99"/>
    <w:pPr>
      <w:tabs>
        <w:tab w:val="center" w:pos="4153" w:leader="none"/>
        <w:tab w:val="right" w:pos="8306" w:leader="none"/>
      </w:tabs>
    </w:pPr>
  </w:style>
  <w:style w:type="character" w:styleId="1206" w:customStyle="1">
    <w:name w:val="Нижний колонтитул Знак"/>
    <w:basedOn w:val="1157"/>
    <w:link w:val="1205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07">
    <w:name w:val="Body Text 3"/>
    <w:basedOn w:val="1147"/>
    <w:link w:val="1208"/>
    <w:uiPriority w:val="99"/>
    <w:pPr>
      <w:keepLines/>
      <w:keepNext/>
      <w:spacing w:before="148" w:after="112"/>
      <w:widowControl w:val="off"/>
      <w:tabs>
        <w:tab w:val="left" w:pos="0" w:leader="none"/>
        <w:tab w:val="left" w:pos="567" w:leader="none"/>
        <w:tab w:val="left" w:pos="1133" w:leader="none"/>
        <w:tab w:val="left" w:pos="1699" w:leader="none"/>
        <w:tab w:val="left" w:pos="2266" w:leader="none"/>
        <w:tab w:val="left" w:pos="2832" w:leader="none"/>
        <w:tab w:val="left" w:pos="3399" w:leader="none"/>
        <w:tab w:val="left" w:pos="3965" w:leader="none"/>
        <w:tab w:val="left" w:pos="4531" w:leader="none"/>
        <w:tab w:val="left" w:pos="5098" w:leader="none"/>
        <w:tab w:val="left" w:pos="5664" w:leader="none"/>
        <w:tab w:val="left" w:pos="6231" w:leader="none"/>
        <w:tab w:val="left" w:pos="6797" w:leader="none"/>
        <w:tab w:val="left" w:pos="7363" w:leader="none"/>
        <w:tab w:val="left" w:pos="7930" w:leader="none"/>
        <w:tab w:val="left" w:pos="8496" w:leader="none"/>
        <w:tab w:val="left" w:pos="9063" w:leader="none"/>
      </w:tabs>
      <w:suppressLineNumbers/>
    </w:pPr>
    <w:rPr>
      <w:sz w:val="16"/>
      <w:szCs w:val="16"/>
    </w:rPr>
  </w:style>
  <w:style w:type="character" w:styleId="1208" w:customStyle="1">
    <w:name w:val="Основной текст 3 Знак"/>
    <w:basedOn w:val="1157"/>
    <w:link w:val="1207"/>
    <w:uiPriority w:val="99"/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1209">
    <w:name w:val="Plain Text"/>
    <w:basedOn w:val="1147"/>
    <w:link w:val="1210"/>
    <w:pPr>
      <w:jc w:val="left"/>
      <w:spacing w:after="0"/>
    </w:pPr>
    <w:rPr>
      <w:rFonts w:ascii="Courier New" w:hAnsi="Courier New" w:cs="Courier New"/>
      <w:sz w:val="20"/>
      <w:szCs w:val="20"/>
    </w:rPr>
  </w:style>
  <w:style w:type="character" w:styleId="1210" w:customStyle="1">
    <w:name w:val="Текст Знак"/>
    <w:basedOn w:val="1157"/>
    <w:link w:val="1209"/>
    <w:rPr>
      <w:rFonts w:ascii="Courier New" w:hAnsi="Courier New" w:eastAsia="Times New Roman" w:cs="Courier New"/>
      <w:sz w:val="20"/>
      <w:szCs w:val="20"/>
      <w:lang w:eastAsia="ru-RU"/>
    </w:rPr>
  </w:style>
  <w:style w:type="paragraph" w:styleId="1211" w:customStyle="1">
    <w:name w:val="ConsNormal"/>
    <w:pPr>
      <w:ind w:right="19772" w:firstLine="720"/>
      <w:spacing w:after="0" w:line="240" w:lineRule="auto"/>
      <w:widowControl w:val="off"/>
    </w:pPr>
    <w:rPr>
      <w:rFonts w:ascii="Arial" w:hAnsi="Arial" w:eastAsia="Times New Roman" w:cs="Arial"/>
      <w:sz w:val="20"/>
      <w:szCs w:val="20"/>
      <w:lang w:eastAsia="ru-RU"/>
    </w:rPr>
  </w:style>
  <w:style w:type="paragraph" w:styleId="1212">
    <w:name w:val="Normal (Web)"/>
    <w:basedOn w:val="1147"/>
    <w:uiPriority w:val="99"/>
    <w:pPr>
      <w:jc w:val="left"/>
      <w:spacing w:before="100" w:beforeAutospacing="1" w:after="100" w:afterAutospacing="1"/>
    </w:pPr>
  </w:style>
  <w:style w:type="paragraph" w:styleId="1213">
    <w:name w:val="HTML Address"/>
    <w:basedOn w:val="1147"/>
    <w:link w:val="1214"/>
    <w:uiPriority w:val="99"/>
    <w:rPr>
      <w:i/>
      <w:iCs/>
    </w:rPr>
  </w:style>
  <w:style w:type="character" w:styleId="1214" w:customStyle="1">
    <w:name w:val="Адрес HTML Знак"/>
    <w:basedOn w:val="1157"/>
    <w:link w:val="1213"/>
    <w:uiPriority w:val="99"/>
    <w:rPr>
      <w:rFonts w:ascii="Times New Roman" w:hAnsi="Times New Roman" w:eastAsia="Times New Roman" w:cs="Times New Roman"/>
      <w:i/>
      <w:iCs/>
      <w:sz w:val="24"/>
      <w:szCs w:val="24"/>
      <w:lang w:eastAsia="ru-RU"/>
    </w:rPr>
  </w:style>
  <w:style w:type="paragraph" w:styleId="1215">
    <w:name w:val="envelope address"/>
    <w:basedOn w:val="1147"/>
    <w:uiPriority w:val="99"/>
    <w:pPr>
      <w:ind w:left="2880"/>
      <w:framePr w:w="7920" w:h="1980" w:hSpace="180" w:wrap="auto" w:hAnchor="page" w:xAlign="center" w:yAlign="bottom" w:hRule="exact"/>
    </w:pPr>
    <w:rPr>
      <w:rFonts w:ascii="Arial" w:hAnsi="Arial" w:cs="Arial"/>
    </w:rPr>
  </w:style>
  <w:style w:type="character" w:styleId="1216">
    <w:name w:val="HTML Acronym"/>
    <w:basedOn w:val="1157"/>
    <w:uiPriority w:val="99"/>
  </w:style>
  <w:style w:type="character" w:styleId="1217">
    <w:name w:val="Emphasis"/>
    <w:uiPriority w:val="99"/>
    <w:qFormat/>
    <w:rPr>
      <w:i/>
      <w:iCs/>
    </w:rPr>
  </w:style>
  <w:style w:type="character" w:styleId="1218">
    <w:name w:val="Hyperlink"/>
    <w:uiPriority w:val="99"/>
    <w:rPr>
      <w:color w:val="0000ff"/>
      <w:u w:val="single"/>
    </w:rPr>
  </w:style>
  <w:style w:type="paragraph" w:styleId="1219">
    <w:name w:val="Note Heading"/>
    <w:basedOn w:val="1147"/>
    <w:next w:val="1147"/>
    <w:link w:val="1220"/>
    <w:uiPriority w:val="99"/>
  </w:style>
  <w:style w:type="character" w:styleId="1220" w:customStyle="1">
    <w:name w:val="Заголовок записки Знак"/>
    <w:basedOn w:val="1157"/>
    <w:link w:val="1219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221">
    <w:name w:val="HTML Keyboard"/>
    <w:uiPriority w:val="99"/>
    <w:rPr>
      <w:rFonts w:ascii="Courier New" w:hAnsi="Courier New" w:cs="Courier New"/>
      <w:sz w:val="20"/>
      <w:szCs w:val="20"/>
    </w:rPr>
  </w:style>
  <w:style w:type="character" w:styleId="1222">
    <w:name w:val="HTML Code"/>
    <w:uiPriority w:val="99"/>
    <w:rPr>
      <w:rFonts w:ascii="Courier New" w:hAnsi="Courier New" w:cs="Courier New"/>
      <w:sz w:val="20"/>
      <w:szCs w:val="20"/>
    </w:rPr>
  </w:style>
  <w:style w:type="paragraph" w:styleId="1223">
    <w:name w:val="Body Text First Indent"/>
    <w:basedOn w:val="1192"/>
    <w:link w:val="1224"/>
    <w:uiPriority w:val="99"/>
    <w:pPr>
      <w:ind w:firstLine="210"/>
    </w:pPr>
  </w:style>
  <w:style w:type="character" w:styleId="1224" w:customStyle="1">
    <w:name w:val="Красная строка Знак"/>
    <w:basedOn w:val="1193"/>
    <w:link w:val="1223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25">
    <w:name w:val="Body Text First Indent 2"/>
    <w:basedOn w:val="1170"/>
    <w:link w:val="1226"/>
    <w:uiPriority w:val="99"/>
    <w:pPr>
      <w:ind w:left="283" w:firstLine="210"/>
      <w:spacing w:before="0" w:after="120"/>
    </w:pPr>
  </w:style>
  <w:style w:type="character" w:styleId="1226" w:customStyle="1">
    <w:name w:val="Красная строка 2 Знак"/>
    <w:basedOn w:val="1172"/>
    <w:link w:val="1225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227">
    <w:name w:val="line number"/>
    <w:basedOn w:val="1157"/>
    <w:uiPriority w:val="99"/>
  </w:style>
  <w:style w:type="character" w:styleId="1228">
    <w:name w:val="HTML Sample"/>
    <w:uiPriority w:val="99"/>
    <w:rPr>
      <w:rFonts w:ascii="Courier New" w:hAnsi="Courier New" w:cs="Courier New"/>
    </w:rPr>
  </w:style>
  <w:style w:type="paragraph" w:styleId="1229">
    <w:name w:val="envelope return"/>
    <w:basedOn w:val="1147"/>
    <w:uiPriority w:val="99"/>
    <w:rPr>
      <w:rFonts w:ascii="Arial" w:hAnsi="Arial" w:cs="Arial"/>
      <w:sz w:val="20"/>
      <w:szCs w:val="20"/>
    </w:rPr>
  </w:style>
  <w:style w:type="paragraph" w:styleId="1230">
    <w:name w:val="Normal Indent"/>
    <w:basedOn w:val="1147"/>
    <w:uiPriority w:val="99"/>
    <w:pPr>
      <w:ind w:left="708"/>
    </w:pPr>
  </w:style>
  <w:style w:type="character" w:styleId="1231">
    <w:name w:val="HTML Definition"/>
    <w:uiPriority w:val="99"/>
    <w:rPr>
      <w:i/>
      <w:iCs/>
    </w:rPr>
  </w:style>
  <w:style w:type="character" w:styleId="1232">
    <w:name w:val="HTML Variable"/>
    <w:uiPriority w:val="99"/>
    <w:rPr>
      <w:i/>
      <w:iCs/>
    </w:rPr>
  </w:style>
  <w:style w:type="character" w:styleId="1233">
    <w:name w:val="HTML Typewriter"/>
    <w:uiPriority w:val="99"/>
    <w:rPr>
      <w:rFonts w:ascii="Courier New" w:hAnsi="Courier New" w:cs="Courier New"/>
      <w:sz w:val="20"/>
      <w:szCs w:val="20"/>
    </w:rPr>
  </w:style>
  <w:style w:type="paragraph" w:styleId="1234">
    <w:name w:val="Signature"/>
    <w:basedOn w:val="1147"/>
    <w:link w:val="1235"/>
    <w:uiPriority w:val="99"/>
    <w:pPr>
      <w:ind w:left="4252"/>
    </w:pPr>
  </w:style>
  <w:style w:type="character" w:styleId="1235" w:customStyle="1">
    <w:name w:val="Подпись Знак"/>
    <w:basedOn w:val="1157"/>
    <w:link w:val="1234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36">
    <w:name w:val="Salutation"/>
    <w:basedOn w:val="1147"/>
    <w:next w:val="1147"/>
    <w:link w:val="1237"/>
    <w:uiPriority w:val="99"/>
  </w:style>
  <w:style w:type="character" w:styleId="1237" w:customStyle="1">
    <w:name w:val="Приветствие Знак"/>
    <w:basedOn w:val="1157"/>
    <w:link w:val="1236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38">
    <w:name w:val="List Continue"/>
    <w:basedOn w:val="1147"/>
    <w:uiPriority w:val="99"/>
    <w:pPr>
      <w:ind w:left="283"/>
      <w:spacing w:after="120"/>
    </w:pPr>
  </w:style>
  <w:style w:type="paragraph" w:styleId="1239">
    <w:name w:val="List Continue 2"/>
    <w:basedOn w:val="1147"/>
    <w:uiPriority w:val="99"/>
    <w:pPr>
      <w:ind w:left="566"/>
      <w:spacing w:after="120"/>
    </w:pPr>
  </w:style>
  <w:style w:type="paragraph" w:styleId="1240">
    <w:name w:val="List Continue 3"/>
    <w:basedOn w:val="1147"/>
    <w:uiPriority w:val="99"/>
    <w:pPr>
      <w:ind w:left="849"/>
      <w:spacing w:after="120"/>
    </w:pPr>
  </w:style>
  <w:style w:type="paragraph" w:styleId="1241">
    <w:name w:val="List Continue 4"/>
    <w:basedOn w:val="1147"/>
    <w:uiPriority w:val="99"/>
    <w:pPr>
      <w:ind w:left="1132"/>
      <w:spacing w:after="120"/>
    </w:pPr>
  </w:style>
  <w:style w:type="paragraph" w:styleId="1242">
    <w:name w:val="List Continue 5"/>
    <w:basedOn w:val="1147"/>
    <w:uiPriority w:val="99"/>
    <w:pPr>
      <w:ind w:left="1415"/>
      <w:spacing w:after="120"/>
    </w:pPr>
  </w:style>
  <w:style w:type="character" w:styleId="1243">
    <w:name w:val="FollowedHyperlink"/>
    <w:uiPriority w:val="99"/>
    <w:rPr>
      <w:color w:val="800080"/>
      <w:u w:val="single"/>
    </w:rPr>
  </w:style>
  <w:style w:type="paragraph" w:styleId="1244">
    <w:name w:val="Closing"/>
    <w:basedOn w:val="1147"/>
    <w:link w:val="1245"/>
    <w:uiPriority w:val="99"/>
    <w:pPr>
      <w:ind w:left="4252"/>
    </w:pPr>
  </w:style>
  <w:style w:type="character" w:styleId="1245" w:customStyle="1">
    <w:name w:val="Прощание Знак"/>
    <w:basedOn w:val="1157"/>
    <w:link w:val="1244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46">
    <w:name w:val="List"/>
    <w:basedOn w:val="1147"/>
    <w:uiPriority w:val="99"/>
    <w:pPr>
      <w:ind w:left="283" w:hanging="283"/>
    </w:pPr>
  </w:style>
  <w:style w:type="paragraph" w:styleId="1247">
    <w:name w:val="List 2"/>
    <w:basedOn w:val="1147"/>
    <w:uiPriority w:val="99"/>
    <w:pPr>
      <w:ind w:left="566" w:hanging="283"/>
    </w:pPr>
  </w:style>
  <w:style w:type="paragraph" w:styleId="1248">
    <w:name w:val="List 3"/>
    <w:basedOn w:val="1147"/>
    <w:uiPriority w:val="99"/>
    <w:pPr>
      <w:ind w:left="849" w:hanging="283"/>
    </w:pPr>
  </w:style>
  <w:style w:type="paragraph" w:styleId="1249">
    <w:name w:val="List 4"/>
    <w:basedOn w:val="1147"/>
    <w:uiPriority w:val="99"/>
    <w:pPr>
      <w:ind w:left="1132" w:hanging="283"/>
    </w:pPr>
  </w:style>
  <w:style w:type="paragraph" w:styleId="1250">
    <w:name w:val="List 5"/>
    <w:basedOn w:val="1147"/>
    <w:uiPriority w:val="99"/>
    <w:pPr>
      <w:ind w:left="1415" w:hanging="283"/>
    </w:pPr>
  </w:style>
  <w:style w:type="paragraph" w:styleId="1251">
    <w:name w:val="HTML Preformatted"/>
    <w:basedOn w:val="1147"/>
    <w:link w:val="1252"/>
    <w:uiPriority w:val="99"/>
    <w:rPr>
      <w:rFonts w:ascii="Courier New" w:hAnsi="Courier New" w:cs="Courier New"/>
      <w:sz w:val="20"/>
      <w:szCs w:val="20"/>
    </w:rPr>
  </w:style>
  <w:style w:type="character" w:styleId="1252" w:customStyle="1">
    <w:name w:val="Стандартный HTML Знак"/>
    <w:basedOn w:val="1157"/>
    <w:link w:val="1251"/>
    <w:uiPriority w:val="99"/>
    <w:rPr>
      <w:rFonts w:ascii="Courier New" w:hAnsi="Courier New" w:eastAsia="Times New Roman" w:cs="Courier New"/>
      <w:sz w:val="20"/>
      <w:szCs w:val="20"/>
      <w:lang w:eastAsia="ru-RU"/>
    </w:rPr>
  </w:style>
  <w:style w:type="character" w:styleId="1253">
    <w:name w:val="Strong"/>
    <w:uiPriority w:val="99"/>
    <w:qFormat/>
    <w:rPr>
      <w:b/>
      <w:bCs/>
    </w:rPr>
  </w:style>
  <w:style w:type="character" w:styleId="1254">
    <w:name w:val="HTML Cite"/>
    <w:uiPriority w:val="99"/>
    <w:rPr>
      <w:i/>
      <w:iCs/>
    </w:rPr>
  </w:style>
  <w:style w:type="paragraph" w:styleId="1255">
    <w:name w:val="Message Header"/>
    <w:basedOn w:val="1147"/>
    <w:link w:val="1256"/>
    <w:uiPriority w:val="99"/>
    <w:pPr>
      <w:ind w:left="1134" w:hanging="1134"/>
      <w:shd w:val="pct20" w:color="auto" w:fill="auto"/>
      <w:pBdr>
        <w:top w:val="single" w:color="000000" w:sz="6" w:space="1"/>
        <w:left w:val="single" w:color="000000" w:sz="6" w:space="1"/>
        <w:bottom w:val="single" w:color="000000" w:sz="6" w:space="1"/>
        <w:right w:val="single" w:color="000000" w:sz="6" w:space="1"/>
      </w:pBdr>
    </w:pPr>
    <w:rPr>
      <w:rFonts w:ascii="Cambria" w:hAnsi="Cambria" w:cs="Cambria"/>
    </w:rPr>
  </w:style>
  <w:style w:type="character" w:styleId="1256" w:customStyle="1">
    <w:name w:val="Шапка Знак"/>
    <w:basedOn w:val="1157"/>
    <w:link w:val="1255"/>
    <w:uiPriority w:val="99"/>
    <w:rPr>
      <w:rFonts w:ascii="Cambria" w:hAnsi="Cambria" w:eastAsia="Times New Roman" w:cs="Cambria"/>
      <w:sz w:val="24"/>
      <w:szCs w:val="24"/>
      <w:shd w:val="pct20" w:color="auto" w:fill="auto"/>
      <w:lang w:eastAsia="ru-RU"/>
    </w:rPr>
  </w:style>
  <w:style w:type="paragraph" w:styleId="1257">
    <w:name w:val="E-mail Signature"/>
    <w:basedOn w:val="1147"/>
    <w:link w:val="1258"/>
    <w:uiPriority w:val="99"/>
  </w:style>
  <w:style w:type="character" w:styleId="1258" w:customStyle="1">
    <w:name w:val="Электронная подпись Знак"/>
    <w:basedOn w:val="1157"/>
    <w:link w:val="1257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59">
    <w:name w:val="toc 4"/>
    <w:basedOn w:val="1147"/>
    <w:next w:val="1147"/>
    <w:uiPriority w:val="39"/>
    <w:pPr>
      <w:ind w:left="720"/>
      <w:jc w:val="left"/>
      <w:spacing w:after="0"/>
    </w:pPr>
    <w:rPr>
      <w:sz w:val="18"/>
      <w:szCs w:val="18"/>
    </w:rPr>
  </w:style>
  <w:style w:type="paragraph" w:styleId="1260">
    <w:name w:val="toc 5"/>
    <w:basedOn w:val="1147"/>
    <w:next w:val="1147"/>
    <w:uiPriority w:val="39"/>
    <w:pPr>
      <w:ind w:left="960"/>
      <w:jc w:val="left"/>
      <w:spacing w:after="0"/>
    </w:pPr>
    <w:rPr>
      <w:sz w:val="18"/>
      <w:szCs w:val="18"/>
    </w:rPr>
  </w:style>
  <w:style w:type="paragraph" w:styleId="1261">
    <w:name w:val="toc 6"/>
    <w:basedOn w:val="1147"/>
    <w:next w:val="1147"/>
    <w:uiPriority w:val="39"/>
    <w:pPr>
      <w:ind w:left="1200"/>
      <w:jc w:val="left"/>
      <w:spacing w:after="0"/>
    </w:pPr>
    <w:rPr>
      <w:sz w:val="18"/>
      <w:szCs w:val="18"/>
    </w:rPr>
  </w:style>
  <w:style w:type="paragraph" w:styleId="1262">
    <w:name w:val="toc 7"/>
    <w:basedOn w:val="1147"/>
    <w:next w:val="1147"/>
    <w:uiPriority w:val="39"/>
    <w:pPr>
      <w:ind w:left="1440"/>
      <w:jc w:val="left"/>
      <w:spacing w:after="0"/>
    </w:pPr>
    <w:rPr>
      <w:sz w:val="18"/>
      <w:szCs w:val="18"/>
    </w:rPr>
  </w:style>
  <w:style w:type="paragraph" w:styleId="1263">
    <w:name w:val="toc 8"/>
    <w:basedOn w:val="1147"/>
    <w:next w:val="1147"/>
    <w:uiPriority w:val="39"/>
    <w:pPr>
      <w:ind w:left="1680"/>
      <w:jc w:val="left"/>
      <w:spacing w:after="0"/>
    </w:pPr>
    <w:rPr>
      <w:sz w:val="18"/>
      <w:szCs w:val="18"/>
    </w:rPr>
  </w:style>
  <w:style w:type="paragraph" w:styleId="1264">
    <w:name w:val="toc 9"/>
    <w:basedOn w:val="1147"/>
    <w:next w:val="1147"/>
    <w:uiPriority w:val="39"/>
    <w:pPr>
      <w:ind w:left="1920"/>
      <w:jc w:val="left"/>
      <w:spacing w:after="0"/>
    </w:pPr>
    <w:rPr>
      <w:sz w:val="18"/>
      <w:szCs w:val="18"/>
    </w:rPr>
  </w:style>
  <w:style w:type="paragraph" w:styleId="1265" w:customStyle="1">
    <w:name w:val="Стиль1"/>
    <w:basedOn w:val="1147"/>
    <w:pPr>
      <w:numPr>
        <w:ilvl w:val="0"/>
        <w:numId w:val="3"/>
      </w:numPr>
      <w:jc w:val="left"/>
      <w:keepLines/>
      <w:keepNext/>
      <w:widowControl w:val="off"/>
      <w:suppressLineNumbers/>
    </w:pPr>
    <w:rPr>
      <w:b/>
      <w:bCs/>
      <w:sz w:val="28"/>
      <w:szCs w:val="28"/>
    </w:rPr>
  </w:style>
  <w:style w:type="paragraph" w:styleId="1266" w:customStyle="1">
    <w:name w:val="содержание2-1"/>
    <w:basedOn w:val="1150"/>
    <w:next w:val="1147"/>
    <w:uiPriority w:val="99"/>
  </w:style>
  <w:style w:type="paragraph" w:styleId="1267" w:customStyle="1">
    <w:name w:val="Заголовок 2.1"/>
    <w:basedOn w:val="1148"/>
    <w:uiPriority w:val="99"/>
    <w:pPr>
      <w:keepLines/>
      <w:widowControl w:val="off"/>
      <w:suppressLineNumbers/>
    </w:pPr>
    <w:rPr>
      <w:caps/>
    </w:rPr>
  </w:style>
  <w:style w:type="paragraph" w:styleId="1268" w:customStyle="1">
    <w:name w:val="Стиль2"/>
    <w:basedOn w:val="1179"/>
    <w:uiPriority w:val="99"/>
    <w:pPr>
      <w:numPr>
        <w:ilvl w:val="1"/>
        <w:numId w:val="3"/>
      </w:numPr>
      <w:keepLines/>
      <w:keepNext/>
      <w:widowControl w:val="off"/>
      <w:tabs>
        <w:tab w:val="num" w:pos="1492" w:leader="none"/>
      </w:tabs>
      <w:suppressLineNumbers/>
    </w:pPr>
    <w:rPr>
      <w:b/>
      <w:bCs/>
    </w:rPr>
  </w:style>
  <w:style w:type="paragraph" w:styleId="1269" w:customStyle="1">
    <w:name w:val="Стиль3"/>
    <w:basedOn w:val="1194"/>
    <w:pPr>
      <w:numPr>
        <w:ilvl w:val="2"/>
        <w:numId w:val="3"/>
      </w:numPr>
      <w:spacing w:after="0" w:line="240" w:lineRule="auto"/>
      <w:widowControl w:val="off"/>
    </w:pPr>
  </w:style>
  <w:style w:type="paragraph" w:styleId="1270" w:customStyle="1">
    <w:name w:val="содержание2-11"/>
    <w:basedOn w:val="1147"/>
    <w:uiPriority w:val="99"/>
  </w:style>
  <w:style w:type="character" w:styleId="1271" w:customStyle="1">
    <w:name w:val="Знак Знак1"/>
    <w:uiPriority w:val="99"/>
    <w:rPr>
      <w:sz w:val="24"/>
      <w:szCs w:val="24"/>
      <w:lang w:val="ru-RU" w:eastAsia="ru-RU"/>
    </w:rPr>
  </w:style>
  <w:style w:type="character" w:styleId="1272" w:customStyle="1">
    <w:name w:val="Стиль3 Знак"/>
    <w:uiPriority w:val="99"/>
    <w:rPr>
      <w:sz w:val="24"/>
      <w:szCs w:val="24"/>
      <w:lang w:val="ru-RU" w:eastAsia="ru-RU"/>
    </w:rPr>
  </w:style>
  <w:style w:type="paragraph" w:styleId="1273" w:customStyle="1">
    <w:name w:val="Стиль4"/>
    <w:basedOn w:val="1149"/>
    <w:next w:val="1147"/>
    <w:uiPriority w:val="99"/>
    <w:pPr>
      <w:ind w:firstLine="567"/>
      <w:keepLines/>
      <w:widowControl w:val="off"/>
      <w:suppressLineNumbers/>
    </w:pPr>
  </w:style>
  <w:style w:type="paragraph" w:styleId="1274" w:customStyle="1">
    <w:name w:val="Таблица заголовок"/>
    <w:basedOn w:val="1147"/>
    <w:uiPriority w:val="99"/>
    <w:pPr>
      <w:jc w:val="right"/>
      <w:spacing w:before="120" w:after="120" w:line="360" w:lineRule="auto"/>
    </w:pPr>
    <w:rPr>
      <w:b/>
      <w:bCs/>
      <w:sz w:val="28"/>
      <w:szCs w:val="28"/>
    </w:rPr>
  </w:style>
  <w:style w:type="paragraph" w:styleId="1275" w:customStyle="1">
    <w:name w:val="текст таблицы"/>
    <w:basedOn w:val="1147"/>
    <w:uiPriority w:val="99"/>
    <w:pPr>
      <w:ind w:right="-102"/>
      <w:jc w:val="left"/>
      <w:spacing w:before="120" w:after="0"/>
    </w:pPr>
  </w:style>
  <w:style w:type="paragraph" w:styleId="1276" w:customStyle="1">
    <w:name w:val="Пункт Знак"/>
    <w:basedOn w:val="1147"/>
    <w:uiPriority w:val="99"/>
    <w:pPr>
      <w:ind w:left="1134" w:hanging="567"/>
      <w:spacing w:after="0" w:line="360" w:lineRule="auto"/>
      <w:tabs>
        <w:tab w:val="num" w:pos="1134" w:leader="none"/>
        <w:tab w:val="left" w:pos="1701" w:leader="none"/>
      </w:tabs>
    </w:pPr>
    <w:rPr>
      <w:sz w:val="28"/>
      <w:szCs w:val="28"/>
    </w:rPr>
  </w:style>
  <w:style w:type="paragraph" w:styleId="1277" w:customStyle="1">
    <w:name w:val="a"/>
    <w:basedOn w:val="1147"/>
    <w:uiPriority w:val="99"/>
    <w:pPr>
      <w:ind w:left="1134" w:hanging="567"/>
      <w:spacing w:after="0" w:line="360" w:lineRule="auto"/>
    </w:pPr>
    <w:rPr>
      <w:sz w:val="28"/>
      <w:szCs w:val="28"/>
    </w:rPr>
  </w:style>
  <w:style w:type="paragraph" w:styleId="1278" w:customStyle="1">
    <w:name w:val="Словарная статья"/>
    <w:basedOn w:val="1147"/>
    <w:next w:val="1147"/>
    <w:uiPriority w:val="99"/>
    <w:pPr>
      <w:ind w:right="118"/>
      <w:spacing w:after="0"/>
    </w:pPr>
    <w:rPr>
      <w:rFonts w:ascii="Arial" w:hAnsi="Arial" w:cs="Arial"/>
      <w:sz w:val="20"/>
      <w:szCs w:val="20"/>
    </w:rPr>
  </w:style>
  <w:style w:type="paragraph" w:styleId="1279" w:customStyle="1">
    <w:name w:val="Комментарий пользователя"/>
    <w:basedOn w:val="1147"/>
    <w:next w:val="1147"/>
    <w:uiPriority w:val="99"/>
    <w:pPr>
      <w:ind w:left="170"/>
      <w:jc w:val="left"/>
      <w:spacing w:after="0"/>
    </w:pPr>
    <w:rPr>
      <w:rFonts w:ascii="Arial" w:hAnsi="Arial" w:cs="Arial"/>
      <w:i/>
      <w:iCs/>
      <w:color w:val="000080"/>
      <w:sz w:val="20"/>
      <w:szCs w:val="20"/>
    </w:rPr>
  </w:style>
  <w:style w:type="character" w:styleId="1280" w:customStyle="1">
    <w:name w:val="Стиль3 Знак Знак"/>
    <w:uiPriority w:val="99"/>
    <w:rPr>
      <w:sz w:val="24"/>
      <w:szCs w:val="24"/>
      <w:lang w:val="ru-RU" w:eastAsia="ru-RU"/>
    </w:rPr>
  </w:style>
  <w:style w:type="character" w:styleId="1281" w:customStyle="1">
    <w:name w:val="Текст выноски Знак"/>
    <w:basedOn w:val="1157"/>
    <w:link w:val="1282"/>
    <w:uiPriority w:val="99"/>
    <w:semiHidden/>
    <w:rPr>
      <w:rFonts w:ascii="Times New Roman" w:hAnsi="Times New Roman" w:eastAsia="Times New Roman" w:cs="Times New Roman"/>
      <w:sz w:val="20"/>
      <w:szCs w:val="2"/>
      <w:lang w:eastAsia="ru-RU"/>
    </w:rPr>
  </w:style>
  <w:style w:type="paragraph" w:styleId="1282">
    <w:name w:val="Balloon Text"/>
    <w:basedOn w:val="1147"/>
    <w:link w:val="1281"/>
    <w:uiPriority w:val="99"/>
    <w:semiHidden/>
    <w:rPr>
      <w:sz w:val="20"/>
      <w:szCs w:val="2"/>
    </w:rPr>
  </w:style>
  <w:style w:type="character" w:styleId="1283" w:customStyle="1">
    <w:name w:val="label_body_text_1"/>
    <w:uiPriority w:val="99"/>
  </w:style>
  <w:style w:type="paragraph" w:styleId="1284" w:customStyle="1">
    <w:name w:val="Заголовок 1.Document Header1"/>
    <w:basedOn w:val="1147"/>
    <w:next w:val="1147"/>
    <w:uiPriority w:val="99"/>
    <w:pPr>
      <w:jc w:val="center"/>
      <w:keepNext/>
      <w:spacing w:before="240"/>
      <w:outlineLvl w:val="0"/>
    </w:pPr>
    <w:rPr>
      <w:sz w:val="36"/>
      <w:szCs w:val="36"/>
    </w:rPr>
  </w:style>
  <w:style w:type="paragraph" w:styleId="1285" w:customStyle="1">
    <w:name w:val="ConsPlusNormal"/>
    <w:pPr>
      <w:ind w:firstLine="720"/>
      <w:spacing w:after="0" w:line="240" w:lineRule="auto"/>
      <w:widowControl w:val="off"/>
    </w:pPr>
    <w:rPr>
      <w:rFonts w:ascii="Arial" w:hAnsi="Arial" w:eastAsia="Times New Roman" w:cs="Arial"/>
      <w:sz w:val="20"/>
      <w:szCs w:val="20"/>
      <w:lang w:eastAsia="ru-RU"/>
    </w:rPr>
  </w:style>
  <w:style w:type="character" w:styleId="1286" w:customStyle="1">
    <w:name w:val="Знак Знак11"/>
    <w:uiPriority w:val="99"/>
    <w:rPr>
      <w:sz w:val="24"/>
      <w:szCs w:val="24"/>
      <w:lang w:val="ru-RU" w:eastAsia="ru-RU"/>
    </w:rPr>
  </w:style>
  <w:style w:type="character" w:styleId="1287" w:customStyle="1">
    <w:name w:val="Текст примечания Знак"/>
    <w:basedOn w:val="1157"/>
    <w:link w:val="1288"/>
    <w:uiPriority w:val="99"/>
    <w:semiHidden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288">
    <w:name w:val="annotation text"/>
    <w:basedOn w:val="1147"/>
    <w:link w:val="1287"/>
    <w:uiPriority w:val="99"/>
    <w:semiHidden/>
    <w:rPr>
      <w:sz w:val="20"/>
      <w:szCs w:val="20"/>
    </w:rPr>
  </w:style>
  <w:style w:type="character" w:styleId="1289" w:customStyle="1">
    <w:name w:val="Тема примечания Знак"/>
    <w:basedOn w:val="1287"/>
    <w:link w:val="1290"/>
    <w:uiPriority w:val="99"/>
    <w:semiHidden/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paragraph" w:styleId="1290">
    <w:name w:val="annotation subject"/>
    <w:basedOn w:val="1288"/>
    <w:next w:val="1288"/>
    <w:link w:val="1289"/>
    <w:uiPriority w:val="99"/>
    <w:semiHidden/>
    <w:rPr>
      <w:b/>
      <w:bCs/>
    </w:rPr>
  </w:style>
  <w:style w:type="paragraph" w:styleId="1291" w:customStyle="1">
    <w:name w:val="20"/>
    <w:basedOn w:val="1147"/>
    <w:uiPriority w:val="99"/>
    <w:pPr>
      <w:ind w:left="104" w:right="104"/>
      <w:jc w:val="left"/>
      <w:spacing w:before="104" w:after="104"/>
    </w:pPr>
  </w:style>
  <w:style w:type="paragraph" w:styleId="1292" w:customStyle="1">
    <w:name w:val="Пункт"/>
    <w:basedOn w:val="1147"/>
    <w:link w:val="1293"/>
    <w:pPr>
      <w:ind w:left="1404" w:hanging="504"/>
      <w:spacing w:after="0"/>
      <w:tabs>
        <w:tab w:val="num" w:pos="1980" w:leader="none"/>
      </w:tabs>
    </w:pPr>
  </w:style>
  <w:style w:type="character" w:styleId="1293" w:customStyle="1">
    <w:name w:val="Пункт Знак1"/>
    <w:link w:val="1292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94" w:customStyle="1">
    <w:name w:val="Подпункт"/>
    <w:basedOn w:val="1292"/>
    <w:link w:val="1295"/>
    <w:pPr>
      <w:ind w:left="1728" w:hanging="648"/>
      <w:tabs>
        <w:tab w:val="clear" w:pos="1980" w:leader="none"/>
        <w:tab w:val="num" w:pos="2520" w:leader="none"/>
      </w:tabs>
    </w:pPr>
  </w:style>
  <w:style w:type="character" w:styleId="1295" w:customStyle="1">
    <w:name w:val="Подпункт Знак1"/>
    <w:link w:val="1294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296" w:customStyle="1">
    <w:name w:val="Схема документа Знак"/>
    <w:basedOn w:val="1157"/>
    <w:link w:val="1297"/>
    <w:uiPriority w:val="99"/>
    <w:semiHidden/>
    <w:rPr>
      <w:rFonts w:ascii="Times New Roman" w:hAnsi="Times New Roman" w:eastAsia="Times New Roman" w:cs="Times New Roman"/>
      <w:sz w:val="2"/>
      <w:szCs w:val="2"/>
      <w:shd w:val="clear" w:color="auto" w:fill="000080"/>
      <w:lang w:eastAsia="ru-RU"/>
    </w:rPr>
  </w:style>
  <w:style w:type="paragraph" w:styleId="1297">
    <w:name w:val="Document Map"/>
    <w:basedOn w:val="1147"/>
    <w:link w:val="1296"/>
    <w:uiPriority w:val="99"/>
    <w:semiHidden/>
    <w:pPr>
      <w:shd w:val="clear" w:color="auto" w:fill="000080"/>
    </w:pPr>
    <w:rPr>
      <w:sz w:val="2"/>
      <w:szCs w:val="2"/>
    </w:rPr>
  </w:style>
  <w:style w:type="paragraph" w:styleId="1298" w:customStyle="1">
    <w:name w:val="Таблица шапка"/>
    <w:basedOn w:val="1147"/>
    <w:link w:val="1299"/>
    <w:pPr>
      <w:ind w:left="57" w:right="57"/>
      <w:jc w:val="left"/>
      <w:keepNext/>
      <w:spacing w:before="40" w:after="40"/>
    </w:pPr>
    <w:rPr>
      <w:sz w:val="18"/>
      <w:szCs w:val="18"/>
    </w:rPr>
  </w:style>
  <w:style w:type="character" w:styleId="1299" w:customStyle="1">
    <w:name w:val="Таблица шапка Знак"/>
    <w:link w:val="1298"/>
    <w:rPr>
      <w:rFonts w:ascii="Times New Roman" w:hAnsi="Times New Roman" w:eastAsia="Times New Roman" w:cs="Times New Roman"/>
      <w:sz w:val="18"/>
      <w:szCs w:val="18"/>
      <w:lang w:eastAsia="ru-RU"/>
    </w:rPr>
  </w:style>
  <w:style w:type="paragraph" w:styleId="1300" w:customStyle="1">
    <w:name w:val="Таблица текст"/>
    <w:basedOn w:val="1147"/>
    <w:link w:val="1301"/>
    <w:pPr>
      <w:ind w:left="57" w:right="57"/>
      <w:jc w:val="left"/>
      <w:spacing w:before="40" w:after="40"/>
    </w:pPr>
    <w:rPr>
      <w:sz w:val="22"/>
      <w:szCs w:val="22"/>
    </w:rPr>
  </w:style>
  <w:style w:type="character" w:styleId="1301" w:customStyle="1">
    <w:name w:val="Таблица текст Знак"/>
    <w:link w:val="1300"/>
    <w:rPr>
      <w:rFonts w:ascii="Times New Roman" w:hAnsi="Times New Roman" w:eastAsia="Times New Roman" w:cs="Times New Roman"/>
      <w:lang w:eastAsia="ru-RU"/>
    </w:rPr>
  </w:style>
  <w:style w:type="paragraph" w:styleId="1302" w:customStyle="1">
    <w:name w:val="пункт"/>
    <w:basedOn w:val="1147"/>
    <w:uiPriority w:val="99"/>
    <w:pPr>
      <w:numPr>
        <w:ilvl w:val="2"/>
        <w:numId w:val="5"/>
      </w:numPr>
      <w:jc w:val="left"/>
      <w:spacing w:before="60"/>
    </w:pPr>
  </w:style>
  <w:style w:type="character" w:styleId="1303" w:customStyle="1">
    <w:name w:val="Гипертекстовая ссылка"/>
    <w:uiPriority w:val="99"/>
    <w:rPr>
      <w:b/>
      <w:bCs/>
      <w:color w:val="008000"/>
      <w:sz w:val="20"/>
      <w:szCs w:val="20"/>
      <w:u w:val="single"/>
    </w:rPr>
  </w:style>
  <w:style w:type="paragraph" w:styleId="1304" w:customStyle="1">
    <w:name w:val="Обычный1"/>
    <w:uiPriority w:val="99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305" w:customStyle="1">
    <w:name w:val="ConsPlusNonformat"/>
    <w:uiPriority w:val="99"/>
    <w:pPr>
      <w:spacing w:after="0" w:line="240" w:lineRule="auto"/>
      <w:widowControl w:val="off"/>
    </w:pPr>
    <w:rPr>
      <w:rFonts w:ascii="Courier New" w:hAnsi="Courier New" w:eastAsia="Times New Roman" w:cs="Courier New"/>
      <w:sz w:val="20"/>
      <w:szCs w:val="20"/>
      <w:lang w:eastAsia="ru-RU"/>
    </w:rPr>
  </w:style>
  <w:style w:type="paragraph" w:styleId="1306">
    <w:name w:val="No Spacing"/>
    <w:uiPriority w:val="1"/>
    <w:qFormat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307">
    <w:name w:val="endnote text"/>
    <w:basedOn w:val="1147"/>
    <w:link w:val="1308"/>
    <w:uiPriority w:val="99"/>
    <w:rPr>
      <w:sz w:val="20"/>
      <w:szCs w:val="20"/>
    </w:rPr>
  </w:style>
  <w:style w:type="character" w:styleId="1308" w:customStyle="1">
    <w:name w:val="Текст концевой сноски Знак"/>
    <w:basedOn w:val="1157"/>
    <w:link w:val="1307"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309" w:customStyle="1">
    <w:name w:val="Основной текст с отступом11"/>
    <w:basedOn w:val="1147"/>
    <w:uiPriority w:val="99"/>
    <w:pPr>
      <w:ind w:firstLine="851"/>
      <w:spacing w:before="60" w:after="0"/>
    </w:pPr>
  </w:style>
  <w:style w:type="character" w:styleId="1310" w:customStyle="1">
    <w:name w:val="Font Style30"/>
    <w:uiPriority w:val="99"/>
    <w:rPr>
      <w:rFonts w:ascii="Times New Roman" w:hAnsi="Times New Roman" w:cs="Times New Roman"/>
      <w:sz w:val="18"/>
      <w:szCs w:val="18"/>
    </w:rPr>
  </w:style>
  <w:style w:type="paragraph" w:styleId="1311">
    <w:name w:val="List Paragraph"/>
    <w:basedOn w:val="1147"/>
    <w:link w:val="1312"/>
    <w:uiPriority w:val="34"/>
    <w:qFormat/>
    <w:pPr>
      <w:ind w:left="720"/>
      <w:jc w:val="left"/>
      <w:spacing w:after="0"/>
    </w:pPr>
  </w:style>
  <w:style w:type="character" w:styleId="1312" w:customStyle="1">
    <w:name w:val="Абзац списка Знак"/>
    <w:basedOn w:val="1157"/>
    <w:link w:val="1311"/>
    <w:uiPriority w:val="34"/>
    <w:qFormat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313" w:customStyle="1">
    <w:name w:val="f"/>
    <w:basedOn w:val="1157"/>
  </w:style>
  <w:style w:type="character" w:styleId="1314" w:customStyle="1">
    <w:name w:val="r"/>
    <w:basedOn w:val="1157"/>
  </w:style>
  <w:style w:type="paragraph" w:styleId="1315">
    <w:name w:val="Body Text 2"/>
    <w:basedOn w:val="1147"/>
    <w:link w:val="1316"/>
    <w:pPr>
      <w:spacing w:after="120" w:line="480" w:lineRule="auto"/>
    </w:pPr>
  </w:style>
  <w:style w:type="character" w:styleId="1316" w:customStyle="1">
    <w:name w:val="Основной текст 2 Знак"/>
    <w:basedOn w:val="1157"/>
    <w:link w:val="1315"/>
    <w:rPr>
      <w:rFonts w:ascii="Times New Roman" w:hAnsi="Times New Roman" w:eastAsia="Times New Roman" w:cs="Times New Roman"/>
      <w:sz w:val="24"/>
      <w:szCs w:val="24"/>
      <w:lang w:eastAsia="ru-RU"/>
    </w:rPr>
  </w:style>
  <w:style w:type="table" w:styleId="1317">
    <w:name w:val="Table Grid"/>
    <w:basedOn w:val="1158"/>
    <w:uiPriority w:val="5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318" w:customStyle="1">
    <w:name w:val="Iniiaiie oaeno"/>
    <w:basedOn w:val="1147"/>
    <w:uiPriority w:val="99"/>
    <w:pPr>
      <w:jc w:val="center"/>
      <w:spacing w:after="0"/>
    </w:pPr>
    <w:rPr>
      <w:rFonts w:ascii="Arial" w:hAnsi="Arial" w:cs="Arial"/>
    </w:rPr>
  </w:style>
  <w:style w:type="paragraph" w:styleId="1319" w:customStyle="1">
    <w:name w:val="Абзац списка1"/>
    <w:basedOn w:val="1147"/>
    <w:pPr>
      <w:contextualSpacing/>
      <w:ind w:left="720"/>
      <w:jc w:val="left"/>
      <w:spacing w:after="0"/>
    </w:pPr>
    <w:rPr>
      <w:rFonts w:ascii="Cambria" w:hAnsi="Cambria" w:eastAsia="MS Mincho"/>
    </w:rPr>
  </w:style>
  <w:style w:type="paragraph" w:styleId="1320" w:customStyle="1">
    <w:name w:val="Таблицы (моноширинный)"/>
    <w:basedOn w:val="1147"/>
    <w:next w:val="1147"/>
    <w:uiPriority w:val="99"/>
    <w:pPr>
      <w:jc w:val="left"/>
      <w:spacing w:after="0"/>
    </w:pPr>
    <w:rPr>
      <w:rFonts w:ascii="Courier New" w:hAnsi="Courier New" w:cs="Courier New" w:eastAsiaTheme="minorHAnsi"/>
      <w:lang w:eastAsia="en-US"/>
    </w:rPr>
  </w:style>
  <w:style w:type="paragraph" w:styleId="1321" w:customStyle="1">
    <w:name w:val="Подподпункт"/>
    <w:basedOn w:val="1294"/>
    <w:link w:val="1322"/>
    <w:pPr>
      <w:ind w:left="567" w:hanging="567"/>
      <w:spacing w:line="360" w:lineRule="auto"/>
      <w:tabs>
        <w:tab w:val="num" w:pos="360" w:leader="none"/>
        <w:tab w:val="clear" w:pos="2520" w:leader="none"/>
      </w:tabs>
    </w:pPr>
    <w:rPr>
      <w:sz w:val="28"/>
      <w:szCs w:val="20"/>
    </w:rPr>
  </w:style>
  <w:style w:type="character" w:styleId="1322" w:customStyle="1">
    <w:name w:val="Подподпункт Знак"/>
    <w:basedOn w:val="1157"/>
    <w:link w:val="1321"/>
    <w:rPr>
      <w:rFonts w:ascii="Times New Roman" w:hAnsi="Times New Roman" w:eastAsia="Times New Roman" w:cs="Times New Roman"/>
      <w:sz w:val="28"/>
      <w:szCs w:val="20"/>
      <w:lang w:eastAsia="ru-RU"/>
    </w:rPr>
  </w:style>
  <w:style w:type="paragraph" w:styleId="1323" w:customStyle="1">
    <w:name w:val="Пункт-3"/>
    <w:basedOn w:val="1147"/>
    <w:link w:val="1324"/>
    <w:pPr>
      <w:spacing w:after="0"/>
      <w:tabs>
        <w:tab w:val="num" w:pos="1418" w:leader="none"/>
      </w:tabs>
    </w:pPr>
    <w:rPr>
      <w:sz w:val="28"/>
      <w:szCs w:val="20"/>
    </w:rPr>
  </w:style>
  <w:style w:type="character" w:styleId="1324" w:customStyle="1">
    <w:name w:val="Пункт-3 Знак"/>
    <w:link w:val="1323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1325" w:customStyle="1">
    <w:name w:val="Основной текст (3)_"/>
    <w:basedOn w:val="1157"/>
    <w:link w:val="1326"/>
    <w:rPr>
      <w:b/>
      <w:bCs/>
      <w:shd w:val="clear" w:color="auto" w:fill="ffffff"/>
    </w:rPr>
  </w:style>
  <w:style w:type="paragraph" w:styleId="1326" w:customStyle="1">
    <w:name w:val="Основной текст (3)"/>
    <w:basedOn w:val="1147"/>
    <w:link w:val="1325"/>
    <w:pPr>
      <w:ind w:firstLine="709"/>
      <w:jc w:val="center"/>
      <w:spacing w:after="0" w:line="274" w:lineRule="exact"/>
      <w:shd w:val="clear" w:color="auto" w:fill="ffffff"/>
      <w:widowControl w:val="off"/>
    </w:pPr>
    <w:rPr>
      <w:rFonts w:asciiTheme="minorHAnsi" w:hAnsiTheme="minorHAnsi" w:eastAsiaTheme="minorHAnsi" w:cstheme="minorBidi"/>
      <w:b/>
      <w:bCs/>
      <w:sz w:val="22"/>
      <w:szCs w:val="22"/>
      <w:lang w:eastAsia="en-US"/>
    </w:rPr>
  </w:style>
  <w:style w:type="paragraph" w:styleId="1327" w:customStyle="1">
    <w:name w:val="Default"/>
    <w:pPr>
      <w:spacing w:after="0" w:line="240" w:lineRule="auto"/>
    </w:pPr>
    <w:rPr>
      <w:rFonts w:ascii="Times New Roman" w:hAnsi="Times New Roman" w:eastAsia="Times New Roman" w:cs="Times New Roman"/>
      <w:color w:val="000000"/>
      <w:sz w:val="24"/>
      <w:szCs w:val="24"/>
    </w:rPr>
  </w:style>
  <w:style w:type="paragraph" w:styleId="1328" w:customStyle="1">
    <w:name w:val="Пункт-4"/>
    <w:basedOn w:val="1147"/>
    <w:pPr>
      <w:ind w:left="643" w:hanging="360"/>
      <w:spacing w:after="0"/>
      <w:tabs>
        <w:tab w:val="num" w:pos="643" w:leader="none"/>
      </w:tabs>
    </w:pPr>
    <w:rPr>
      <w:sz w:val="28"/>
      <w:szCs w:val="20"/>
    </w:rPr>
  </w:style>
  <w:style w:type="character" w:styleId="1329" w:customStyle="1">
    <w:name w:val="комментарий"/>
    <w:uiPriority w:val="99"/>
    <w:rPr>
      <w:i/>
      <w:u w:val="none"/>
      <w:shd w:val="clear" w:color="auto" w:fill="ffff99"/>
    </w:rPr>
  </w:style>
  <w:style w:type="paragraph" w:styleId="1330" w:customStyle="1">
    <w:name w:val="Ариал"/>
    <w:basedOn w:val="1147"/>
    <w:link w:val="1331"/>
    <w:pPr>
      <w:ind w:firstLine="851"/>
      <w:spacing w:before="120" w:after="120" w:line="360" w:lineRule="auto"/>
    </w:pPr>
    <w:rPr>
      <w:rFonts w:ascii="Arial" w:hAnsi="Arial"/>
      <w:szCs w:val="20"/>
    </w:rPr>
  </w:style>
  <w:style w:type="character" w:styleId="1331" w:customStyle="1">
    <w:name w:val="Ариал Знак1"/>
    <w:link w:val="1330"/>
    <w:rPr>
      <w:rFonts w:ascii="Arial" w:hAnsi="Arial" w:eastAsia="Times New Roman" w:cs="Times New Roman"/>
      <w:sz w:val="24"/>
      <w:szCs w:val="20"/>
    </w:rPr>
  </w:style>
  <w:style w:type="paragraph" w:styleId="1332" w:customStyle="1">
    <w:name w:val="Цитата1"/>
    <w:basedOn w:val="1147"/>
    <w:uiPriority w:val="99"/>
    <w:pPr>
      <w:ind w:left="34" w:right="32" w:firstLine="595"/>
      <w:spacing w:after="0" w:line="360" w:lineRule="auto"/>
      <w:shd w:val="clear" w:color="auto" w:fill="ffffff"/>
    </w:pPr>
    <w:rPr>
      <w:rFonts w:ascii="Arial" w:hAnsi="Arial"/>
      <w:color w:val="000000"/>
      <w:sz w:val="22"/>
      <w:szCs w:val="20"/>
    </w:rPr>
  </w:style>
  <w:style w:type="paragraph" w:styleId="1333" w:customStyle="1">
    <w:name w:val="Заголовок_1"/>
    <w:basedOn w:val="1147"/>
    <w:uiPriority w:val="99"/>
    <w:pPr>
      <w:numPr>
        <w:ilvl w:val="0"/>
        <w:numId w:val="6"/>
      </w:numPr>
      <w:jc w:val="center"/>
      <w:keepLines/>
      <w:keepNext/>
      <w:spacing w:before="360" w:after="120"/>
      <w:outlineLvl w:val="0"/>
    </w:pPr>
    <w:rPr>
      <w:rFonts w:ascii="Arial" w:hAnsi="Arial" w:cs="Arial"/>
      <w:b/>
      <w:bCs/>
      <w:caps/>
      <w:sz w:val="36"/>
      <w:szCs w:val="28"/>
    </w:rPr>
  </w:style>
  <w:style w:type="paragraph" w:styleId="1334" w:customStyle="1">
    <w:name w:val="Пункт_3"/>
    <w:basedOn w:val="1147"/>
    <w:uiPriority w:val="99"/>
    <w:pPr>
      <w:numPr>
        <w:ilvl w:val="2"/>
        <w:numId w:val="6"/>
      </w:numPr>
      <w:spacing w:after="0"/>
    </w:pPr>
    <w:rPr>
      <w:sz w:val="28"/>
      <w:szCs w:val="28"/>
    </w:rPr>
  </w:style>
  <w:style w:type="paragraph" w:styleId="1335" w:customStyle="1">
    <w:name w:val="Пункт_2"/>
    <w:basedOn w:val="1147"/>
    <w:uiPriority w:val="99"/>
    <w:pPr>
      <w:numPr>
        <w:ilvl w:val="1"/>
        <w:numId w:val="6"/>
      </w:numPr>
      <w:spacing w:after="0"/>
    </w:pPr>
    <w:rPr>
      <w:sz w:val="28"/>
      <w:szCs w:val="20"/>
    </w:rPr>
  </w:style>
  <w:style w:type="paragraph" w:styleId="1336" w:customStyle="1">
    <w:name w:val="Пункт_5"/>
    <w:basedOn w:val="1334"/>
    <w:uiPriority w:val="99"/>
    <w:pPr>
      <w:numPr>
        <w:ilvl w:val="4"/>
      </w:numPr>
    </w:pPr>
  </w:style>
  <w:style w:type="paragraph" w:styleId="1337">
    <w:name w:val="Caption"/>
    <w:basedOn w:val="1147"/>
    <w:next w:val="1147"/>
    <w:link w:val="1016"/>
    <w:uiPriority w:val="35"/>
    <w:unhideWhenUsed/>
    <w:qFormat/>
    <w:pPr>
      <w:jc w:val="left"/>
      <w:spacing w:after="200"/>
    </w:pPr>
    <w:rPr>
      <w:rFonts w:asciiTheme="minorHAnsi" w:hAnsiTheme="minorHAnsi" w:eastAsiaTheme="minorHAnsi" w:cstheme="minorBidi"/>
      <w:b/>
      <w:bCs/>
      <w:color w:val="5b9bd5" w:themeColor="accent1"/>
      <w:sz w:val="18"/>
      <w:szCs w:val="18"/>
      <w:lang w:eastAsia="en-US"/>
    </w:rPr>
  </w:style>
  <w:style w:type="paragraph" w:styleId="1338" w:customStyle="1">
    <w:name w:val="Times 12"/>
    <w:basedOn w:val="1147"/>
    <w:pPr>
      <w:ind w:firstLine="567"/>
      <w:spacing w:after="0"/>
    </w:pPr>
    <w:rPr>
      <w:bCs/>
      <w:szCs w:val="22"/>
    </w:rPr>
  </w:style>
  <w:style w:type="paragraph" w:styleId="1339" w:customStyle="1">
    <w:name w:val="FTN_txt"/>
    <w:basedOn w:val="1147"/>
    <w:pPr>
      <w:numPr>
        <w:ilvl w:val="1"/>
        <w:numId w:val="13"/>
      </w:numPr>
      <w:spacing w:after="0" w:line="288" w:lineRule="auto"/>
      <w:widowControl w:val="off"/>
      <w:tabs>
        <w:tab w:val="left" w:pos="1080" w:leader="none"/>
      </w:tabs>
    </w:pPr>
    <w:rPr>
      <w:rFonts w:eastAsia="Arial Unicode MS"/>
    </w:rPr>
  </w:style>
  <w:style w:type="paragraph" w:styleId="1340" w:customStyle="1">
    <w:name w:val="[Ростех] Простой текст (Без уровня)"/>
    <w:link w:val="1341"/>
    <w:uiPriority w:val="99"/>
    <w:qFormat/>
    <w:pPr>
      <w:jc w:val="both"/>
      <w:spacing w:before="120" w:after="0" w:line="240" w:lineRule="auto"/>
    </w:pPr>
    <w:rPr>
      <w:rFonts w:ascii="Proxima Nova ExCn Rg" w:hAnsi="Proxima Nova ExCn Rg" w:eastAsia="Times New Roman" w:cs="Times New Roman"/>
      <w:sz w:val="28"/>
      <w:szCs w:val="28"/>
      <w:lang w:eastAsia="ru-RU"/>
    </w:rPr>
  </w:style>
  <w:style w:type="character" w:styleId="1341" w:customStyle="1">
    <w:name w:val="[Ростех] Простой текст (Без уровня) Знак"/>
    <w:basedOn w:val="1157"/>
    <w:link w:val="1340"/>
    <w:uiPriority w:val="99"/>
    <w:rPr>
      <w:rFonts w:ascii="Proxima Nova ExCn Rg" w:hAnsi="Proxima Nova ExCn Rg" w:eastAsia="Times New Roman" w:cs="Times New Roman"/>
      <w:sz w:val="28"/>
      <w:szCs w:val="28"/>
      <w:lang w:eastAsia="ru-RU"/>
    </w:rPr>
  </w:style>
  <w:style w:type="paragraph" w:styleId="1342" w:customStyle="1">
    <w:name w:val="[Ростех] Текст Подпункта (Уровень 5)"/>
    <w:link w:val="1343"/>
    <w:uiPriority w:val="99"/>
    <w:qFormat/>
    <w:pPr>
      <w:jc w:val="both"/>
      <w:spacing w:before="120" w:after="0" w:line="240" w:lineRule="auto"/>
      <w:outlineLvl w:val="4"/>
    </w:pPr>
    <w:rPr>
      <w:rFonts w:ascii="Proxima Nova ExCn Rg" w:hAnsi="Proxima Nova ExCn Rg" w:eastAsia="Times New Roman" w:cs="Times New Roman"/>
      <w:sz w:val="28"/>
      <w:szCs w:val="28"/>
      <w:lang w:eastAsia="ru-RU"/>
    </w:rPr>
  </w:style>
  <w:style w:type="character" w:styleId="1343" w:customStyle="1">
    <w:name w:val="[Ростех] Текст Подпункта (Уровень 5) Знак"/>
    <w:basedOn w:val="1157"/>
    <w:link w:val="1342"/>
    <w:uiPriority w:val="99"/>
    <w:qFormat/>
    <w:rPr>
      <w:rFonts w:ascii="Proxima Nova ExCn Rg" w:hAnsi="Proxima Nova ExCn Rg" w:eastAsia="Times New Roman" w:cs="Times New Roman"/>
      <w:sz w:val="28"/>
      <w:szCs w:val="28"/>
      <w:lang w:eastAsia="ru-RU"/>
    </w:rPr>
  </w:style>
  <w:style w:type="paragraph" w:styleId="1344" w:customStyle="1">
    <w:name w:val="[Ростех] Текст Подпункта (следующий абзац) (Уровень 4)"/>
    <w:link w:val="1345"/>
    <w:qFormat/>
    <w:pPr>
      <w:ind w:left="1134"/>
      <w:jc w:val="both"/>
      <w:spacing w:before="120" w:after="0" w:line="240" w:lineRule="auto"/>
      <w:outlineLvl w:val="3"/>
    </w:pPr>
    <w:rPr>
      <w:rFonts w:ascii="Proxima Nova ExCn Rg" w:hAnsi="Proxima Nova ExCn Rg" w:eastAsia="Times New Roman" w:cs="Times New Roman"/>
      <w:sz w:val="28"/>
      <w:szCs w:val="28"/>
      <w:lang w:eastAsia="ru-RU"/>
    </w:rPr>
  </w:style>
  <w:style w:type="character" w:styleId="1345" w:customStyle="1">
    <w:name w:val="[Ростех] Текст Подпункта (следующий абзац) (Уровень 4) Знак"/>
    <w:basedOn w:val="1157"/>
    <w:link w:val="1344"/>
    <w:rPr>
      <w:rFonts w:ascii="Proxima Nova ExCn Rg" w:hAnsi="Proxima Nova ExCn Rg" w:eastAsia="Times New Roman" w:cs="Times New Roman"/>
      <w:sz w:val="28"/>
      <w:szCs w:val="28"/>
      <w:lang w:eastAsia="ru-RU"/>
    </w:rPr>
  </w:style>
  <w:style w:type="paragraph" w:styleId="1346" w:customStyle="1">
    <w:name w:val="Пункт б/н"/>
    <w:basedOn w:val="1147"/>
    <w:pPr>
      <w:ind w:firstLine="567"/>
      <w:spacing w:after="0" w:line="360" w:lineRule="auto"/>
      <w:tabs>
        <w:tab w:val="left" w:pos="1134" w:leader="none"/>
      </w:tabs>
    </w:pPr>
    <w:rPr>
      <w:sz w:val="28"/>
      <w:szCs w:val="20"/>
    </w:rPr>
  </w:style>
  <w:style w:type="paragraph" w:styleId="1347" w:customStyle="1">
    <w:name w:val="Основной текст 22"/>
    <w:basedOn w:val="1147"/>
    <w:pPr>
      <w:ind w:firstLine="567"/>
      <w:jc w:val="left"/>
      <w:spacing w:after="0"/>
    </w:pPr>
    <w:rPr>
      <w:szCs w:val="20"/>
    </w:rPr>
  </w:style>
  <w:style w:type="character" w:styleId="1348">
    <w:name w:val="Placeholder Text"/>
    <w:basedOn w:val="1157"/>
    <w:uiPriority w:val="99"/>
    <w:semiHidden/>
    <w:rPr>
      <w:color w:val="808080"/>
    </w:rPr>
  </w:style>
  <w:style w:type="paragraph" w:styleId="1349" w:customStyle="1">
    <w:name w:val="_Маркер (номер) - с заголовком"/>
    <w:pPr>
      <w:spacing w:before="240" w:after="60" w:line="36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Times New Roman" w:hAnsi="Times New Roman" w:eastAsia="Arial Unicode MS" w:cs="Arial Unicode MS"/>
      <w:b/>
      <w:bCs/>
      <w:color w:val="000000"/>
      <w:sz w:val="24"/>
      <w:szCs w:val="24"/>
      <w:lang w:eastAsia="ru-RU"/>
    </w:rPr>
  </w:style>
  <w:style w:type="character" w:styleId="1350" w:customStyle="1">
    <w:name w:val="bumpedfont15"/>
  </w:style>
  <w:style w:type="table" w:styleId="1351" w:customStyle="1">
    <w:name w:val="Сетка таблицы2"/>
    <w:basedOn w:val="1158"/>
    <w:next w:val="1317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352" w:customStyle="1">
    <w:name w:val="Нет"/>
  </w:style>
  <w:style w:type="character" w:styleId="1353" w:customStyle="1">
    <w:name w:val="Hyperlink.0"/>
  </w:style>
  <w:style w:type="numbering" w:styleId="1354" w:customStyle="1">
    <w:name w:val="Импортированный стиль 25"/>
    <w:pPr>
      <w:numPr>
        <w:ilvl w:val="0"/>
        <w:numId w:val="44"/>
      </w:numPr>
    </w:pPr>
  </w:style>
  <w:style w:type="paragraph" w:styleId="1355" w:customStyle="1">
    <w:name w:val="СтильДокументаТНР12"/>
    <w:qFormat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cs="Times New Roman" w:eastAsiaTheme="minorHAnsi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8"/>
      <w:highlight w:val="none"/>
      <w:u w:val="none"/>
      <w:vertAlign w:val="baseline"/>
      <w:rtl w:val="0"/>
      <w:cs w:val="0"/>
      <w:lang w:val="ru-RU" w:eastAsia="en-US" w:bidi="ar-SA"/>
      <w14:ligatures w14:val="none"/>
    </w:rPr>
  </w:style>
  <w:style w:type="character" w:styleId="1356" w:customStyle="1">
    <w:name w:val="Гиперссылка"/>
    <w:uiPriority w:val="99"/>
    <w:rPr>
      <w:color w:val="336699"/>
      <w:u w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customXml" Target="../customXml/item1.xml" /><Relationship Id="rId11" Type="http://schemas.openxmlformats.org/officeDocument/2006/relationships/hyperlink" Target="http://www.consultant.ru/document/cons_doc_LAW_116964/" TargetMode="External"/><Relationship Id="rId12" Type="http://schemas.openxmlformats.org/officeDocument/2006/relationships/hyperlink" Target="https://rosseti-sz.ru/purchase/purchasemanage/pur_docs/" TargetMode="External"/><Relationship Id="rId13" Type="http://schemas.openxmlformats.org/officeDocument/2006/relationships/hyperlink" Target="https://rosseti-sz.ru/purchase/purchasemanage/pur_docs/" TargetMode="External"/><Relationship Id="rId14" Type="http://schemas.openxmlformats.org/officeDocument/2006/relationships/hyperlink" Target="http://www.consultant.ru/document/cons_doc_LAW_5142/" TargetMode="External"/><Relationship Id="rId15" Type="http://schemas.openxmlformats.org/officeDocument/2006/relationships/hyperlink" Target="https://rosseti-sz.ru/purchase/purchasemanage/pur_docs/" TargetMode="External"/><Relationship Id="rId16" Type="http://schemas.openxmlformats.org/officeDocument/2006/relationships/hyperlink" Target="https://www.consultant.ru/document/cons_doc_LAW_421788/?ysclid=lh7gcn0ch0337012251" TargetMode="External"/><Relationship Id="rId17" Type="http://schemas.openxmlformats.org/officeDocument/2006/relationships/hyperlink" Target="https://www.consultant.ru/document/cons_doc_LAW_421788/?ysclid=lh7gd9qdev457426157" TargetMode="External"/><Relationship Id="rId18" Type="http://schemas.openxmlformats.org/officeDocument/2006/relationships/hyperlink" Target="http://www.consultant.ru/document/cons_doc_LAW_116964/" TargetMode="External"/><Relationship Id="rId19" Type="http://schemas.openxmlformats.org/officeDocument/2006/relationships/hyperlink" Target="https://www.consultant.ru/document/cons_doc_LAW_144624/?ysclid=lh7gqoclg7259684790" TargetMode="External"/><Relationship Id="rId20" Type="http://schemas.openxmlformats.org/officeDocument/2006/relationships/hyperlink" Target="http://www.consultant.ru/document/cons_doc_LAW_5142/" TargetMode="External"/><Relationship Id="rId21" Type="http://schemas.openxmlformats.org/officeDocument/2006/relationships/hyperlink" Target="https://rosseti-sz.ru/purchase/purchasemanage/pur_docs/" TargetMode="External"/><Relationship Id="rId22" Type="http://schemas.openxmlformats.org/officeDocument/2006/relationships/hyperlink" Target="https://www.consultant.ru/document/cons_doc_LAW_494318/92d969e26a4326c5d02fa79b8f9cf4994ee5633b/" TargetMode="External"/><Relationship Id="rId23" Type="http://schemas.openxmlformats.org/officeDocument/2006/relationships/hyperlink" Target="https://rosseti-sz.ru/about/charterinternaldocuments/unitypolicy-p/antitrustpolicy/" TargetMode="External"/><Relationship Id="rId24" Type="http://schemas.openxmlformats.org/officeDocument/2006/relationships/hyperlink" Target="https://zakupki.gov.ru/" TargetMode="External"/><Relationship Id="rId25" Type="http://schemas.openxmlformats.org/officeDocument/2006/relationships/hyperlink" Target="&#1058;&#1088;&#1077;&#1073;&#1086;&#1074;&#1072;&#1085;&#1080;&#1103;_&#1082;_&#1075;&#1072;&#1088;&#1072;&#1085;&#1090;&#1072;&#1084;" TargetMode="External"/><Relationship Id="rId26" Type="http://schemas.openxmlformats.org/officeDocument/2006/relationships/hyperlink" Target="http://www.consultant.ru/document/cons_doc_LAW_116964/" TargetMode="External"/><Relationship Id="rId27" Type="http://schemas.openxmlformats.org/officeDocument/2006/relationships/hyperlink" Target="https://rosseti-sz.ru/purchase/purchasemanage/pur_docs/" TargetMode="External"/><Relationship Id="rId28" Type="http://schemas.openxmlformats.org/officeDocument/2006/relationships/hyperlink" Target="https://rosseti-sz.ru/purchase/purchasemanage/pur_docs/" TargetMode="External"/><Relationship Id="rId29" Type="http://schemas.openxmlformats.org/officeDocument/2006/relationships/hyperlink" Target="https://rosseti-sz.ru/purchase/purchasemanage/pur_docs/" TargetMode="External"/><Relationship Id="rId30" Type="http://schemas.openxmlformats.org/officeDocument/2006/relationships/hyperlink" Target="https://www.consultant.ru/document/cons_doc_LAW_116964/" TargetMode="External"/><Relationship Id="rId31" Type="http://schemas.openxmlformats.org/officeDocument/2006/relationships/hyperlink" Target="https://rosseti-sz.ru/purchase/purchasemanage/pur_docs/" TargetMode="External"/><Relationship Id="rId32" Type="http://schemas.openxmlformats.org/officeDocument/2006/relationships/hyperlink" Target="https://www.consultant.ru/document/cons_doc_LAW_494318/92d969e26a4326c5d02fa79b8f9cf4994ee5633b/" TargetMode="External"/><Relationship Id="rId33" Type="http://schemas.openxmlformats.org/officeDocument/2006/relationships/hyperlink" Target="https://www.consultant.ru/document/cons_doc_LAW_494318/92d969e26a4326c5d02fa79b8f9cf4994ee5633b/" TargetMode="External"/><Relationship Id="rId34" Type="http://schemas.openxmlformats.org/officeDocument/2006/relationships/hyperlink" Target="http://www.consultant.ru/document/cons_doc_LAW_116964/" TargetMode="External"/><Relationship Id="rId35" Type="http://schemas.openxmlformats.org/officeDocument/2006/relationships/hyperlink" Target="https://rosseti-sz.ru/purchase/purchasemanage/pur_docs/" TargetMode="External"/><Relationship Id="rId36" Type="http://schemas.openxmlformats.org/officeDocument/2006/relationships/hyperlink" Target="https://rosseti-sz.ru/purchase/purchasemanage/pur_docs/" TargetMode="External"/><Relationship Id="rId37" Type="http://schemas.openxmlformats.org/officeDocument/2006/relationships/hyperlink" Target="https://rosseti-sz.ru/purchase/purchasemanage/pur_docs/" TargetMode="External"/><Relationship Id="rId38" Type="http://schemas.openxmlformats.org/officeDocument/2006/relationships/hyperlink" Target="&#1058;&#1088;&#1077;&#1073;&#1086;&#1074;&#1072;&#1085;&#1080;&#1103;_&#1082;_&#1075;&#1072;&#1088;&#1072;&#1085;&#1090;&#1072;&#1084;" TargetMode="External"/><Relationship Id="rId39" Type="http://schemas.openxmlformats.org/officeDocument/2006/relationships/hyperlink" Target="https://www.consultant.ru/document/cons_doc_LAW_494318/92d969e26a4326c5d02fa79b8f9cf4994ee5633b/" TargetMode="External"/><Relationship Id="rId40" Type="http://schemas.openxmlformats.org/officeDocument/2006/relationships/hyperlink" Target="https://www.consultant.ru/document/cons_doc_LAW_494318/92d969e26a4326c5d02fa79b8f9cf4994ee5633b/" TargetMode="External"/><Relationship Id="rId41" Type="http://schemas.openxmlformats.org/officeDocument/2006/relationships/hyperlink" Target="https://phonebook.rosseti-sz.ru/pls/telephone/phone_mrsk.main?parID=-22867&amp;parATSID=3563&amp;parFocusedEmpID=-82161" TargetMode="External"/><Relationship Id="rId42" Type="http://schemas.openxmlformats.org/officeDocument/2006/relationships/hyperlink" Target="mailto:gilbergno@rosseti-sz.ru" TargetMode="External"/><Relationship Id="rId43" Type="http://schemas.openxmlformats.org/officeDocument/2006/relationships/hyperlink" Target="https://www.consultant.ru/document/cons_doc_LAW_116964/fddec0f5c16a67f6fca41f9e31dfb0dcc72cc49a/" TargetMode="External"/><Relationship Id="rId44" Type="http://schemas.openxmlformats.org/officeDocument/2006/relationships/hyperlink" Target="https://zakupki.gov.ru/epz/main/public/home.html" TargetMode="External"/><Relationship Id="rId45" Type="http://schemas.openxmlformats.org/officeDocument/2006/relationships/hyperlink" Target="https://www.consultant.ru/document/cons_doc_LAW_494318/92d969e26a4326c5d02fa79b8f9cf4994ee5633b/" TargetMode="External"/><Relationship Id="rId46" Type="http://schemas.openxmlformats.org/officeDocument/2006/relationships/hyperlink" Target="https://www.consultant.ru/document/cons_doc_LAW_494318/92d969e26a4326c5d02fa79b8f9cf4994ee5633b/" TargetMode="External"/><Relationship Id="rId47" Type="http://schemas.openxmlformats.org/officeDocument/2006/relationships/hyperlink" Target="http://fssprus.ru/" TargetMode="External"/><Relationship Id="rId48" Type="http://schemas.openxmlformats.org/officeDocument/2006/relationships/hyperlink" Target="https://www.consultant.ru/document/cons_doc_LAW_34661/f61ff313afecf81a91a43d729c2df55c1d6a1533/?ysclid=lg4qmycd5r789935285" TargetMode="External"/><Relationship Id="rId49" Type="http://schemas.openxmlformats.org/officeDocument/2006/relationships/hyperlink" Target="https://www.consultant.ru/document/cons_doc_LAW_116964/a3b63487ad7d07ce045a07b0f1e7a9d9b064de95/?ysclid=lh64ujuyrf221084500" TargetMode="External"/><Relationship Id="rId50" Type="http://schemas.openxmlformats.org/officeDocument/2006/relationships/hyperlink" Target="https://www.consultant.ru/document/cons_doc_LAW_144624/" TargetMode="External"/><Relationship Id="rId51" Type="http://schemas.openxmlformats.org/officeDocument/2006/relationships/hyperlink" Target="https://www.consultant.ru/document/cons_doc_LAW_421788/?ysclid=lhoub12jl9945165196" TargetMode="External"/><Relationship Id="rId52" Type="http://schemas.openxmlformats.org/officeDocument/2006/relationships/hyperlink" Target="https://www.nalog.gov.ru/" TargetMode="External"/><Relationship Id="rId53" Type="http://schemas.openxmlformats.org/officeDocument/2006/relationships/hyperlink" Target="https://www.consultant.ru/document/cons_doc_LAW_52144/08b3ecbcdc9a360ad1dc314150a6328886703356/?ysclid=lh8w3ol3mn827994503" TargetMode="External"/><Relationship Id="rId54" Type="http://schemas.openxmlformats.org/officeDocument/2006/relationships/hyperlink" Target="https://www.consultant.ru/document/cons_doc_LAW_52144/" TargetMode="External"/><Relationship Id="rId55" Type="http://schemas.openxmlformats.org/officeDocument/2006/relationships/hyperlink" Target="https://www.consultant.ru/document/cons_doc_LAW_26303/dcaa7085e4a308d45f6b131e6506737ef9230c7c/?ysclid=lgx954x9qo716241051" TargetMode="External"/><Relationship Id="rId56" Type="http://schemas.openxmlformats.org/officeDocument/2006/relationships/hyperlink" Target="https://www.consultant.ru/document/cons_doc_LAW_122855/b24121ba7152f33673608559f2ca844ef5b6a74c/?ysclid=lgwbt56le8873077341" TargetMode="External"/><Relationship Id="rId57" Type="http://schemas.openxmlformats.org/officeDocument/2006/relationships/image" Target="media/image1.wmf"/><Relationship Id="rId58" Type="http://schemas.openxmlformats.org/officeDocument/2006/relationships/hyperlink" Target="https://www.consultant.ru/document/cons_doc_LAW_494318/92d969e26a4326c5d02fa79b8f9cf4994ee5633b/" TargetMode="External"/><Relationship Id="rId59" Type="http://schemas.openxmlformats.org/officeDocument/2006/relationships/hyperlink" Target="https://www.consultant.ru/document/cons_doc_LAW_494318/92d969e26a4326c5d02fa79b8f9cf4994ee5633b/" TargetMode="External"/><Relationship Id="rId60" Type="http://schemas.openxmlformats.org/officeDocument/2006/relationships/hyperlink" Target="https://www.consultant.ru/document/cons_doc_LAW_26303/d3a70f222015da0dd6e786b0d839d57d0b6359cb/?ysclid=lgx8r0fd3i243482822" TargetMode="External"/><Relationship Id="rId61" Type="http://schemas.openxmlformats.org/officeDocument/2006/relationships/hyperlink" Target="https://www.consultant.ru/document/cons_doc_LAW_26303/d3a70f222015da0dd6e786b0d839d57d0b6359cb/?ysclid=lgx8r0fd3i243482822" TargetMode="External"/><Relationship Id="rId62" Type="http://schemas.openxmlformats.org/officeDocument/2006/relationships/hyperlink" Target="https://www.consultant.ru/document/cons_doc_LAW_26303/dcaa7085e4a308d45f6b131e6506737ef9230c7c/?ysclid=lgx954x9qo716241051" TargetMode="External"/><Relationship Id="rId63" Type="http://schemas.openxmlformats.org/officeDocument/2006/relationships/hyperlink" Target="https://www.consultant.ru/document/cons_doc_LAW_122855/b24121ba7152f33673608559f2ca844ef5b6a74c/?ysclid=lgwbt56le8873077341" TargetMode="External"/><Relationship Id="rId64" Type="http://schemas.openxmlformats.org/officeDocument/2006/relationships/hyperlink" Target="https://www.consultant.ru/document/cons_doc_LAW_421788/?ysclid=lhoub12jl9945165196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Relationship Id="rId1" Type="http://schemas.openxmlformats.org/officeDocument/2006/relationships/hyperlink" Target="http://www.cbr.ru/credit/" TargetMode="External"/><Relationship Id="rId2" Type="http://schemas.openxmlformats.org/officeDocument/2006/relationships/hyperlink" Target="https://www.cbr.ru/analytics/strform/" TargetMode="External"/><Relationship Id="rId3" Type="http://schemas.openxmlformats.org/officeDocument/2006/relationships/hyperlink" Target="http://www.cbr.ru/credit/" TargetMode="External"/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827BC6-BE91-4BB6-9ACA-9D4D927B9E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Р7-Офис/2024.1.3.422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Лунюшин Дмитрий Андреевич</dc:creator>
  <cp:keywords/>
  <dc:description/>
  <cp:revision>149</cp:revision>
  <dcterms:created xsi:type="dcterms:W3CDTF">2022-08-04T13:38:00Z</dcterms:created>
  <dcterms:modified xsi:type="dcterms:W3CDTF">2025-03-28T14:02:20Z</dcterms:modified>
</cp:coreProperties>
</file>